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B9" w:rsidRPr="00DC26A8" w:rsidRDefault="00DC26A8" w:rsidP="002C20D7">
      <w:pPr>
        <w:spacing w:after="0" w:line="240" w:lineRule="auto"/>
        <w:jc w:val="center"/>
        <w:rPr>
          <w:b/>
        </w:rPr>
      </w:pPr>
      <w:r w:rsidRPr="00DC26A8">
        <w:rPr>
          <w:b/>
        </w:rPr>
        <w:t>ENGEDÉLY</w:t>
      </w:r>
    </w:p>
    <w:p w:rsidR="00DC26A8" w:rsidRPr="00DC26A8" w:rsidRDefault="00DC26A8" w:rsidP="002C20D7">
      <w:pPr>
        <w:spacing w:after="0" w:line="240" w:lineRule="auto"/>
        <w:jc w:val="center"/>
        <w:rPr>
          <w:b/>
        </w:rPr>
      </w:pPr>
      <w:r w:rsidRPr="00DC26A8">
        <w:rPr>
          <w:b/>
        </w:rPr>
        <w:t>üzleti titok</w:t>
      </w:r>
      <w:r w:rsidR="00D43308">
        <w:rPr>
          <w:rStyle w:val="Lbjegyzet-hivatkozs"/>
          <w:b/>
        </w:rPr>
        <w:footnoteReference w:id="1"/>
      </w:r>
      <w:r w:rsidRPr="00DC26A8">
        <w:rPr>
          <w:b/>
        </w:rPr>
        <w:t xml:space="preserve"> vagy egyéb védett </w:t>
      </w:r>
      <w:proofErr w:type="gramStart"/>
      <w:r w:rsidRPr="00DC26A8">
        <w:rPr>
          <w:b/>
        </w:rPr>
        <w:t>információ</w:t>
      </w:r>
      <w:proofErr w:type="gramEnd"/>
      <w:r w:rsidR="0091690F">
        <w:rPr>
          <w:b/>
        </w:rPr>
        <w:t xml:space="preserve"> szakdolgozatban történő</w:t>
      </w:r>
      <w:r w:rsidRPr="00DC26A8">
        <w:rPr>
          <w:b/>
        </w:rPr>
        <w:t xml:space="preserve"> felhasználásához</w:t>
      </w:r>
    </w:p>
    <w:p w:rsidR="002C20D7" w:rsidRDefault="002C20D7" w:rsidP="002C20D7">
      <w:pPr>
        <w:spacing w:after="0" w:line="240" w:lineRule="auto"/>
      </w:pPr>
    </w:p>
    <w:p w:rsidR="00DC26A8" w:rsidRDefault="00DC26A8" w:rsidP="002C20D7">
      <w:pPr>
        <w:spacing w:after="0" w:line="240" w:lineRule="auto"/>
      </w:pPr>
      <w:r>
        <w:t>Jogosult neve/cégneve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…………………………………………………………………………………………………………………….</w:t>
      </w:r>
    </w:p>
    <w:p w:rsidR="00DC26A8" w:rsidRDefault="00DC26A8" w:rsidP="002C20D7">
      <w:pPr>
        <w:spacing w:after="0" w:line="240" w:lineRule="auto"/>
      </w:pPr>
      <w:r>
        <w:t>Cégjegyzékszáma, más nyilvántartási száma</w:t>
      </w:r>
      <w:proofErr w:type="gramStart"/>
      <w:r>
        <w:t>: …</w:t>
      </w:r>
      <w:proofErr w:type="gramEnd"/>
      <w:r>
        <w:t>…………………………………………………………………………………….</w:t>
      </w:r>
    </w:p>
    <w:p w:rsidR="00270242" w:rsidRDefault="00270242" w:rsidP="002C20D7">
      <w:pPr>
        <w:spacing w:after="0" w:line="240" w:lineRule="auto"/>
      </w:pPr>
    </w:p>
    <w:p w:rsidR="00DC26A8" w:rsidRDefault="00DC26A8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Az átadott </w:t>
      </w:r>
      <w:proofErr w:type="gramStart"/>
      <w:r>
        <w:t>információk</w:t>
      </w:r>
      <w:proofErr w:type="gramEnd"/>
      <w:r>
        <w:t xml:space="preserve"> megjelölése: ……………………………………………………………………………………………………</w:t>
      </w:r>
    </w:p>
    <w:p w:rsidR="002C20D7" w:rsidRDefault="002C20D7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2C20D7" w:rsidRDefault="002C20D7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270242" w:rsidRDefault="00270242" w:rsidP="002C20D7">
      <w:pPr>
        <w:spacing w:after="0" w:line="240" w:lineRule="auto"/>
      </w:pPr>
    </w:p>
    <w:p w:rsidR="00DC26A8" w:rsidRDefault="00DC26A8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A </w:t>
      </w:r>
      <w:r w:rsidR="007734B5">
        <w:t>J</w:t>
      </w:r>
      <w:r>
        <w:t xml:space="preserve">ogosult nyilatkozik, hogy az </w:t>
      </w:r>
      <w:proofErr w:type="gramStart"/>
      <w:r>
        <w:t>információk</w:t>
      </w:r>
      <w:proofErr w:type="gramEnd"/>
      <w:r>
        <w:t xml:space="preserve"> saját </w:t>
      </w:r>
      <w:r w:rsidR="00270242">
        <w:rPr>
          <w:rStyle w:val="Lbjegyzet-hivatkozs"/>
        </w:rPr>
        <w:footnoteReference w:id="2"/>
      </w:r>
    </w:p>
    <w:p w:rsidR="00DC26A8" w:rsidRDefault="00DC26A8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BB7F2D">
        <w:rPr>
          <w:szCs w:val="24"/>
          <w:lang w:val="da-DK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BB7F2D">
        <w:rPr>
          <w:szCs w:val="24"/>
        </w:rPr>
        <w:instrText xml:space="preserve"> FORMCHECKBOX </w:instrText>
      </w:r>
      <w:r w:rsidR="00F3357F">
        <w:rPr>
          <w:szCs w:val="24"/>
          <w:lang w:val="da-DK"/>
        </w:rPr>
      </w:r>
      <w:r w:rsidR="00F3357F">
        <w:rPr>
          <w:szCs w:val="24"/>
          <w:lang w:val="da-DK"/>
        </w:rPr>
        <w:fldChar w:fldCharType="separate"/>
      </w:r>
      <w:r w:rsidRPr="00BB7F2D">
        <w:rPr>
          <w:szCs w:val="24"/>
          <w:lang w:val="da-DK"/>
        </w:rPr>
        <w:fldChar w:fldCharType="end"/>
      </w:r>
      <w:r w:rsidRPr="00BB7F2D">
        <w:rPr>
          <w:szCs w:val="24"/>
          <w:lang w:val="da-DK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="0091690F" w:rsidRPr="0091690F">
        <w:t>jogszabályi</w:t>
      </w:r>
      <w:proofErr w:type="gramEnd"/>
      <w:r w:rsidR="0091690F" w:rsidRPr="0091690F">
        <w:t xml:space="preserve"> feltételeknek megfelelő</w:t>
      </w:r>
      <w:r w:rsidR="0091690F">
        <w:rPr>
          <w:rFonts w:ascii="Times New Roman" w:hAnsi="Times New Roman" w:cs="Times New Roman"/>
        </w:rPr>
        <w:t xml:space="preserve"> </w:t>
      </w:r>
      <w:r>
        <w:t xml:space="preserve">üzleti titkát </w:t>
      </w:r>
    </w:p>
    <w:p w:rsidR="00DC26A8" w:rsidRDefault="00DC26A8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BB7F2D">
        <w:rPr>
          <w:szCs w:val="24"/>
          <w:lang w:val="da-DK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BB7F2D">
        <w:rPr>
          <w:szCs w:val="24"/>
        </w:rPr>
        <w:instrText xml:space="preserve"> FORMCHECKBOX </w:instrText>
      </w:r>
      <w:r w:rsidR="00F3357F">
        <w:rPr>
          <w:szCs w:val="24"/>
          <w:lang w:val="da-DK"/>
        </w:rPr>
      </w:r>
      <w:r w:rsidR="00F3357F">
        <w:rPr>
          <w:szCs w:val="24"/>
          <w:lang w:val="da-DK"/>
        </w:rPr>
        <w:fldChar w:fldCharType="separate"/>
      </w:r>
      <w:r w:rsidRPr="00BB7F2D">
        <w:rPr>
          <w:szCs w:val="24"/>
          <w:lang w:val="da-DK"/>
        </w:rPr>
        <w:fldChar w:fldCharType="end"/>
      </w:r>
      <w:r w:rsidRPr="00BB7F2D">
        <w:rPr>
          <w:szCs w:val="24"/>
          <w:lang w:val="da-DK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t>egyéb</w:t>
      </w:r>
      <w:proofErr w:type="gramEnd"/>
      <w:r>
        <w:t>, jogszabály által védett titkát: ………………………………………………</w:t>
      </w:r>
      <w:r w:rsidR="00383422">
        <w:t>……………………………………………..</w:t>
      </w:r>
    </w:p>
    <w:p w:rsidR="00DC26A8" w:rsidRDefault="00DC26A8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gramStart"/>
      <w:r>
        <w:t>képezik</w:t>
      </w:r>
      <w:proofErr w:type="gramEnd"/>
      <w:r>
        <w:t>, illetve azok</w:t>
      </w:r>
      <w:r w:rsidR="00383422">
        <w:t xml:space="preserve"> felhasználásának</w:t>
      </w:r>
      <w:r>
        <w:t xml:space="preserve"> engedél</w:t>
      </w:r>
      <w:r w:rsidR="00383422">
        <w:t>yezésére kizárólagosan jogosult.</w:t>
      </w:r>
    </w:p>
    <w:p w:rsidR="002C20D7" w:rsidRDefault="002C20D7" w:rsidP="002C20D7">
      <w:pPr>
        <w:spacing w:after="0" w:line="240" w:lineRule="auto"/>
        <w:jc w:val="both"/>
      </w:pPr>
    </w:p>
    <w:p w:rsidR="00383422" w:rsidRDefault="007734B5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A J</w:t>
      </w:r>
      <w:r w:rsidR="00383422">
        <w:t xml:space="preserve">ogosult az átadott </w:t>
      </w:r>
      <w:proofErr w:type="gramStart"/>
      <w:r w:rsidR="00383422">
        <w:t>információknak</w:t>
      </w:r>
      <w:proofErr w:type="gramEnd"/>
      <w:r w:rsidR="00383422">
        <w:t xml:space="preserve"> szakdolgozatban való felhasználását</w:t>
      </w:r>
      <w:r w:rsidR="0091690F">
        <w:t>, megjelenítését</w:t>
      </w:r>
      <w:r w:rsidR="00383422">
        <w:t xml:space="preserve"> díjmentesen engedélyezi </w:t>
      </w:r>
    </w:p>
    <w:p w:rsidR="00383422" w:rsidRDefault="00383422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Hallgató neve</w:t>
      </w:r>
      <w:proofErr w:type="gramStart"/>
      <w:r>
        <w:t>: …</w:t>
      </w:r>
      <w:proofErr w:type="gramEnd"/>
      <w:r>
        <w:t>…………………………………………………</w:t>
      </w:r>
      <w:r w:rsidR="0091690F">
        <w:t>…………………..</w:t>
      </w:r>
      <w:r>
        <w:t>…</w:t>
      </w:r>
      <w:r w:rsidR="0091690F">
        <w:t xml:space="preserve"> </w:t>
      </w:r>
      <w:proofErr w:type="spellStart"/>
      <w:r w:rsidR="0091690F">
        <w:t>Neptun</w:t>
      </w:r>
      <w:proofErr w:type="spellEnd"/>
      <w:r w:rsidR="0091690F">
        <w:t xml:space="preserve"> kódja: …………………………………</w:t>
      </w:r>
    </w:p>
    <w:p w:rsidR="00383422" w:rsidRDefault="00383422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proofErr w:type="gramStart"/>
      <w:r>
        <w:t>részére</w:t>
      </w:r>
      <w:proofErr w:type="gramEnd"/>
      <w:r>
        <w:t xml:space="preserve"> azzal, hogy </w:t>
      </w:r>
      <w:r w:rsidR="002B09F9">
        <w:t>hozzájárul ahhoz, hogy</w:t>
      </w:r>
      <w:r w:rsidR="00270242">
        <w:rPr>
          <w:rStyle w:val="Lbjegyzet-hivatkozs"/>
        </w:rPr>
        <w:footnoteReference w:id="3"/>
      </w:r>
    </w:p>
    <w:p w:rsidR="00270242" w:rsidRPr="00270242" w:rsidRDefault="00270242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91"/>
        </w:tabs>
        <w:spacing w:after="0" w:line="240" w:lineRule="auto"/>
        <w:rPr>
          <w:sz w:val="8"/>
          <w:szCs w:val="8"/>
        </w:rPr>
      </w:pPr>
      <w:r>
        <w:tab/>
      </w:r>
    </w:p>
    <w:p w:rsidR="002B09F9" w:rsidRDefault="002B09F9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BB7F2D">
        <w:rPr>
          <w:szCs w:val="24"/>
          <w:lang w:val="da-DK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BB7F2D">
        <w:rPr>
          <w:szCs w:val="24"/>
        </w:rPr>
        <w:instrText xml:space="preserve"> FORMCHECKBOX </w:instrText>
      </w:r>
      <w:r w:rsidR="00F3357F">
        <w:rPr>
          <w:szCs w:val="24"/>
          <w:lang w:val="da-DK"/>
        </w:rPr>
      </w:r>
      <w:r w:rsidR="00F3357F">
        <w:rPr>
          <w:szCs w:val="24"/>
          <w:lang w:val="da-DK"/>
        </w:rPr>
        <w:fldChar w:fldCharType="separate"/>
      </w:r>
      <w:r w:rsidRPr="00BB7F2D">
        <w:rPr>
          <w:szCs w:val="24"/>
          <w:lang w:val="da-DK"/>
        </w:rPr>
        <w:fldChar w:fldCharType="end"/>
      </w:r>
      <w:r w:rsidRPr="00BB7F2D">
        <w:rPr>
          <w:szCs w:val="24"/>
          <w:lang w:val="da-DK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t>az</w:t>
      </w:r>
      <w:proofErr w:type="gramEnd"/>
      <w:r>
        <w:t xml:space="preserve"> Eötvös Loránd Tudományegyetem a szakdolgozatot mindenkori belső szabályzataiban meghatározottak szerint kezelje és annak sikeres védését követően a nemzeti felsőoktatásról szóló 2011. évi CCIV. törvénynek megfelelve, online intézményi </w:t>
      </w:r>
      <w:proofErr w:type="spellStart"/>
      <w:r>
        <w:t>repozitóriumban</w:t>
      </w:r>
      <w:proofErr w:type="spellEnd"/>
      <w:r w:rsidR="00D43308">
        <w:t>, vagy más</w:t>
      </w:r>
      <w:r w:rsidR="0091690F">
        <w:t>,</w:t>
      </w:r>
      <w:r w:rsidR="00D43308">
        <w:t xml:space="preserve"> a szakdolgozatok megőrzését szolgáló tárhelyen</w:t>
      </w:r>
      <w:r>
        <w:t xml:space="preserve"> elhelyezze és </w:t>
      </w:r>
      <w:r w:rsidRPr="002C20D7">
        <w:rPr>
          <w:b/>
        </w:rPr>
        <w:t>nyilvánosságra</w:t>
      </w:r>
      <w:r>
        <w:t xml:space="preserve"> hozza</w:t>
      </w:r>
      <w:r w:rsidR="0091690F">
        <w:t>.</w:t>
      </w:r>
    </w:p>
    <w:p w:rsidR="00270242" w:rsidRPr="00270242" w:rsidRDefault="00270242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sz w:val="8"/>
          <w:szCs w:val="8"/>
        </w:rPr>
      </w:pPr>
    </w:p>
    <w:p w:rsidR="00270242" w:rsidRDefault="002B09F9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4"/>
          <w:lang w:val="da-DK"/>
        </w:rPr>
      </w:pPr>
      <w:r w:rsidRPr="00BB7F2D">
        <w:rPr>
          <w:szCs w:val="24"/>
          <w:lang w:val="da-DK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BB7F2D">
        <w:rPr>
          <w:szCs w:val="24"/>
        </w:rPr>
        <w:instrText xml:space="preserve"> FORMCHECKBOX </w:instrText>
      </w:r>
      <w:r w:rsidR="00F3357F">
        <w:rPr>
          <w:szCs w:val="24"/>
          <w:lang w:val="da-DK"/>
        </w:rPr>
      </w:r>
      <w:r w:rsidR="00F3357F">
        <w:rPr>
          <w:szCs w:val="24"/>
          <w:lang w:val="da-DK"/>
        </w:rPr>
        <w:fldChar w:fldCharType="separate"/>
      </w:r>
      <w:r w:rsidRPr="00BB7F2D">
        <w:rPr>
          <w:szCs w:val="24"/>
          <w:lang w:val="da-DK"/>
        </w:rPr>
        <w:fldChar w:fldCharType="end"/>
      </w:r>
      <w:r w:rsidRPr="00BB7F2D">
        <w:rPr>
          <w:szCs w:val="24"/>
          <w:lang w:val="da-DK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70242">
        <w:rPr>
          <w:rFonts w:ascii="Times New Roman" w:hAnsi="Times New Roman" w:cs="Times New Roman"/>
        </w:rPr>
        <w:t>…</w:t>
      </w:r>
      <w:proofErr w:type="gramStart"/>
      <w:r w:rsidR="00270242">
        <w:rPr>
          <w:rFonts w:ascii="Times New Roman" w:hAnsi="Times New Roman" w:cs="Times New Roman"/>
        </w:rPr>
        <w:t>…..</w:t>
      </w:r>
      <w:proofErr w:type="gramEnd"/>
      <w:r w:rsidR="00270242">
        <w:rPr>
          <w:rFonts w:ascii="Times New Roman" w:hAnsi="Times New Roman" w:cs="Times New Roman"/>
        </w:rPr>
        <w:t xml:space="preserve"> </w:t>
      </w:r>
      <w:r w:rsidR="00D43308" w:rsidRPr="00D43308">
        <w:t>évig</w:t>
      </w:r>
      <w:r w:rsidR="00D43308">
        <w:rPr>
          <w:rStyle w:val="Lbjegyzet-hivatkozs"/>
        </w:rPr>
        <w:footnoteReference w:id="4"/>
      </w:r>
      <w:r w:rsidR="00D43308" w:rsidRPr="00D43308">
        <w:t xml:space="preserve"> </w:t>
      </w:r>
      <w:r>
        <w:t xml:space="preserve">az Eötvös Loránd Tudományegyetem a szakdolgozatot mindenkori belső szabályzataiban meghatározottak szerinti </w:t>
      </w:r>
      <w:r w:rsidRPr="002C20D7">
        <w:rPr>
          <w:b/>
        </w:rPr>
        <w:t>titkos</w:t>
      </w:r>
      <w:r>
        <w:t xml:space="preserve"> eljárásrendben kezelje és annak sikeres védését követően a nemzeti felsőoktatásról szóló 2011. évi CCIV. törvénynek megfelelve, online intézményi </w:t>
      </w:r>
      <w:proofErr w:type="spellStart"/>
      <w:r>
        <w:t>repozitóriumban</w:t>
      </w:r>
      <w:proofErr w:type="spellEnd"/>
      <w:r w:rsidR="00D43308">
        <w:t>, vagy más</w:t>
      </w:r>
      <w:r w:rsidR="0091690F">
        <w:t>,</w:t>
      </w:r>
      <w:r w:rsidR="00D43308">
        <w:t xml:space="preserve"> a szakdolgozatok megőrzését szolgáló tárhelyen</w:t>
      </w:r>
      <w:r>
        <w:t xml:space="preserve"> </w:t>
      </w:r>
      <w:r w:rsidR="005872C2">
        <w:t xml:space="preserve">zártan </w:t>
      </w:r>
      <w:r>
        <w:t>elhelyezze</w:t>
      </w:r>
      <w:r w:rsidR="00D43308">
        <w:t>, mely időtartam lejártát követően a kezelés az előző választási lehetőségben írtak szerint történik</w:t>
      </w:r>
      <w:r w:rsidR="005872C2">
        <w:t xml:space="preserve">. A tudományos tevékenység elősegítése érdekében a felhasználási engedély kiterjed </w:t>
      </w:r>
      <w:r w:rsidR="005872C2">
        <w:rPr>
          <w:szCs w:val="24"/>
          <w:lang w:val="da-DK"/>
        </w:rPr>
        <w:t xml:space="preserve">oktatási-kutatási céllal, </w:t>
      </w:r>
      <w:r w:rsidR="005872C2">
        <w:t>az Eötvös Loránd Tudományegyetem alkalmazottai, doktoranduszai, doktorjelöltjei részér</w:t>
      </w:r>
      <w:r w:rsidR="00D43308">
        <w:t xml:space="preserve">e betekintés biztosítására, </w:t>
      </w:r>
      <w:r w:rsidR="005872C2">
        <w:t xml:space="preserve">az Eötvös Loránd Tudományegyetem által </w:t>
      </w:r>
      <w:r w:rsidR="005872C2">
        <w:rPr>
          <w:szCs w:val="24"/>
          <w:lang w:val="da-DK"/>
        </w:rPr>
        <w:t xml:space="preserve">mesterséges intelligencia eszközökkel, illetve </w:t>
      </w:r>
      <w:r w:rsidR="0091690F">
        <w:rPr>
          <w:szCs w:val="24"/>
          <w:lang w:val="da-DK"/>
        </w:rPr>
        <w:t>egyéb automatizált szövegfeldolgozási</w:t>
      </w:r>
      <w:r w:rsidR="005872C2">
        <w:rPr>
          <w:szCs w:val="24"/>
          <w:lang w:val="da-DK"/>
        </w:rPr>
        <w:t xml:space="preserve"> célokra történő felhasználásra, az adatok harmadik személy részére történő rendelkezésre bocsátása nélkül.</w:t>
      </w:r>
      <w:r w:rsidR="0091690F">
        <w:rPr>
          <w:rStyle w:val="Lbjegyzet-hivatkozs"/>
          <w:szCs w:val="24"/>
          <w:lang w:val="da-DK"/>
        </w:rPr>
        <w:footnoteReference w:id="5"/>
      </w:r>
      <w:r w:rsidR="002C20D7">
        <w:rPr>
          <w:szCs w:val="24"/>
          <w:lang w:val="da-DK"/>
        </w:rPr>
        <w:t xml:space="preserve"> Többletengedélyek a titkot megismerni jogosult személyi kört, vagy fekhasználási célt, módot illetően:</w:t>
      </w:r>
    </w:p>
    <w:p w:rsidR="005872C2" w:rsidRDefault="002C20D7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Cs w:val="24"/>
          <w:lang w:val="da-DK"/>
        </w:rPr>
      </w:pPr>
      <w:r>
        <w:rPr>
          <w:szCs w:val="24"/>
          <w:lang w:val="da-DK"/>
        </w:rPr>
        <w:t xml:space="preserve"> ..........................................................................................</w:t>
      </w:r>
      <w:r w:rsidR="00270242">
        <w:rPr>
          <w:szCs w:val="24"/>
          <w:lang w:val="da-DK"/>
        </w:rPr>
        <w:t>........................................................................</w:t>
      </w:r>
    </w:p>
    <w:p w:rsidR="002C20D7" w:rsidRDefault="002C20D7" w:rsidP="00270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rPr>
          <w:szCs w:val="24"/>
          <w:lang w:val="da-DK"/>
        </w:rPr>
        <w:t>..................................................................................................................................................................</w:t>
      </w:r>
      <w:r>
        <w:rPr>
          <w:rStyle w:val="Lbjegyzet-hivatkozs"/>
          <w:szCs w:val="24"/>
          <w:lang w:val="da-DK"/>
        </w:rPr>
        <w:footnoteReference w:id="6"/>
      </w:r>
    </w:p>
    <w:p w:rsidR="002C20D7" w:rsidRPr="00270242" w:rsidRDefault="002C20D7" w:rsidP="002C20D7">
      <w:pPr>
        <w:spacing w:after="0" w:line="240" w:lineRule="auto"/>
        <w:rPr>
          <w:sz w:val="12"/>
          <w:szCs w:val="12"/>
        </w:rPr>
      </w:pPr>
    </w:p>
    <w:p w:rsidR="007734B5" w:rsidRDefault="007734B5" w:rsidP="002C20D7">
      <w:pPr>
        <w:spacing w:after="0" w:line="240" w:lineRule="auto"/>
      </w:pPr>
      <w:r>
        <w:t>Kelt</w:t>
      </w:r>
      <w:proofErr w:type="gramStart"/>
      <w:r>
        <w:t>: …</w:t>
      </w:r>
      <w:proofErr w:type="gramEnd"/>
      <w:r>
        <w:t>…………………………………..</w:t>
      </w:r>
    </w:p>
    <w:p w:rsidR="0091690F" w:rsidRDefault="0091690F" w:rsidP="002C20D7">
      <w:pPr>
        <w:spacing w:after="0" w:line="240" w:lineRule="auto"/>
        <w:jc w:val="center"/>
      </w:pPr>
      <w:r>
        <w:t>………………………………………………</w:t>
      </w:r>
    </w:p>
    <w:p w:rsidR="007D5346" w:rsidRDefault="007734B5" w:rsidP="00270242">
      <w:pPr>
        <w:spacing w:after="0" w:line="240" w:lineRule="auto"/>
        <w:jc w:val="center"/>
      </w:pPr>
      <w:proofErr w:type="gramStart"/>
      <w:r>
        <w:t>a</w:t>
      </w:r>
      <w:proofErr w:type="gramEnd"/>
      <w:r>
        <w:t xml:space="preserve"> Jogosult </w:t>
      </w:r>
      <w:r w:rsidR="0091690F">
        <w:t>cégszerű aláírás</w:t>
      </w:r>
      <w:r>
        <w:t>a</w:t>
      </w:r>
      <w:r>
        <w:rPr>
          <w:rStyle w:val="Lbjegyzet-hivatkozs"/>
        </w:rPr>
        <w:footnoteReference w:id="7"/>
      </w:r>
      <w:bookmarkStart w:id="0" w:name="_GoBack"/>
      <w:bookmarkEnd w:id="0"/>
      <w:r w:rsidR="007D5346">
        <w:br w:type="page"/>
      </w:r>
    </w:p>
    <w:p w:rsidR="007D5346" w:rsidRPr="007D5346" w:rsidRDefault="007D5346" w:rsidP="002C20D7">
      <w:pPr>
        <w:spacing w:after="0" w:line="240" w:lineRule="auto"/>
        <w:jc w:val="center"/>
        <w:rPr>
          <w:b/>
        </w:rPr>
      </w:pPr>
      <w:r w:rsidRPr="007D5346">
        <w:rPr>
          <w:b/>
        </w:rPr>
        <w:lastRenderedPageBreak/>
        <w:t>Tájékoztatás a szakdolgozat titkos kezeléséről az Eötvös Loránd Tudományegyetemen</w:t>
      </w:r>
    </w:p>
    <w:p w:rsidR="007D5346" w:rsidRDefault="007D5346" w:rsidP="002C20D7">
      <w:pPr>
        <w:spacing w:after="0" w:line="240" w:lineRule="auto"/>
        <w:jc w:val="both"/>
      </w:pPr>
    </w:p>
    <w:p w:rsidR="007D5346" w:rsidRDefault="007D5346" w:rsidP="002C20D7">
      <w:pPr>
        <w:spacing w:after="0" w:line="240" w:lineRule="auto"/>
        <w:jc w:val="both"/>
      </w:pPr>
      <w:r>
        <w:t xml:space="preserve">A szakdolgozatok titkos kezelésének eljárásrendje alatt </w:t>
      </w:r>
      <w:r w:rsidR="002C20D7">
        <w:t xml:space="preserve">2023. szeptember 1-jétől </w:t>
      </w:r>
      <w:r>
        <w:t xml:space="preserve">az alábbiak értendők (ameddig a titkosság indoka fennáll): </w:t>
      </w:r>
    </w:p>
    <w:p w:rsidR="007D5346" w:rsidRDefault="007D5346" w:rsidP="002C20D7">
      <w:pPr>
        <w:spacing w:after="0" w:line="240" w:lineRule="auto"/>
        <w:jc w:val="both"/>
      </w:pPr>
      <w:proofErr w:type="gramStart"/>
      <w:r>
        <w:t>a</w:t>
      </w:r>
      <w:proofErr w:type="gramEnd"/>
      <w:r>
        <w:t xml:space="preserve">) a szakdolgozat szövegét annak készítésének folyamatában – a jogosult kifejezett engedélyének hiányában – csak a témavezető ismerheti meg, </w:t>
      </w:r>
    </w:p>
    <w:p w:rsidR="007D5346" w:rsidRDefault="007D5346" w:rsidP="002C20D7">
      <w:pPr>
        <w:spacing w:after="0" w:line="240" w:lineRule="auto"/>
        <w:jc w:val="both"/>
      </w:pPr>
      <w:r>
        <w:t xml:space="preserve">b) benyújtása </w:t>
      </w:r>
      <w:proofErr w:type="gramStart"/>
      <w:r>
        <w:t>a</w:t>
      </w:r>
      <w:proofErr w:type="gramEnd"/>
      <w:r>
        <w:t xml:space="preserve"> az Elektronikus Tanulmányi Rendszerben, a titkosság beállításával történik, a szükséges engedélyek, hozzájárulások elektronikus másolatának csatolásával, </w:t>
      </w:r>
    </w:p>
    <w:p w:rsidR="007D5346" w:rsidRDefault="007D5346" w:rsidP="002C20D7">
      <w:pPr>
        <w:spacing w:after="0" w:line="240" w:lineRule="auto"/>
        <w:jc w:val="both"/>
      </w:pPr>
      <w:r>
        <w:t xml:space="preserve">c) a szakdolgozat megvédésén – jogszabályi felhatalmazás, vagy további jogosulti (titokgazdai) engedély hiányában – csak az értékelő bizottság, a témavezető és a hallgató, tanárképzés esetén továbbá a szakmódszertani oktató lehet jelen, a jegyzőkönyvben a titkos kezelésre utalni kell (a titkos kezelés a csoportos záróvizsga szervezését nem zárja ki, amennyiben biztosítható, hogy ott védett adat, </w:t>
      </w:r>
      <w:proofErr w:type="gramStart"/>
      <w:r>
        <w:t>információ</w:t>
      </w:r>
      <w:proofErr w:type="gramEnd"/>
      <w:r>
        <w:t xml:space="preserve"> közlésére nem kerül sor), </w:t>
      </w:r>
    </w:p>
    <w:p w:rsidR="007D5346" w:rsidRDefault="007D5346" w:rsidP="002C20D7">
      <w:pPr>
        <w:spacing w:after="0" w:line="240" w:lineRule="auto"/>
        <w:jc w:val="both"/>
      </w:pPr>
      <w:r>
        <w:t xml:space="preserve">d) annak megismerésére - jogszabályi felhatalmazás vagy további jogosulti (titokgazdai) engedély hiányában – a c) pontban meghatározottakon túl a </w:t>
      </w:r>
      <w:proofErr w:type="gramStart"/>
      <w:r>
        <w:t>konzulens</w:t>
      </w:r>
      <w:proofErr w:type="gramEnd"/>
      <w:r>
        <w:t xml:space="preserve">, bírálók, a Tanulmányi Hivatal munkatársai, az indokolt számban kijelölt könyvtári adminisztrátorok és a titkosítás felülvizsgálatára a dékán által kijelölt személy jogosult, akiket a megismerésre az érintettek feladatkörükhöz kötötten és titoktartási kötelezettség mellett jogosultak, és a titok megtartása érdekében fokozott gondossággal kötelesek eljárni, </w:t>
      </w:r>
    </w:p>
    <w:p w:rsidR="00DC26A8" w:rsidRDefault="007D5346" w:rsidP="002C20D7">
      <w:pPr>
        <w:spacing w:after="0" w:line="240" w:lineRule="auto"/>
        <w:jc w:val="both"/>
      </w:pPr>
      <w:proofErr w:type="gramStart"/>
      <w:r>
        <w:t>e</w:t>
      </w:r>
      <w:proofErr w:type="gramEnd"/>
      <w:r>
        <w:t xml:space="preserve">) a </w:t>
      </w:r>
      <w:proofErr w:type="spellStart"/>
      <w:r>
        <w:t>repozitóriumban</w:t>
      </w:r>
      <w:proofErr w:type="spellEnd"/>
      <w:r>
        <w:t xml:space="preserve"> a szakdolgozat zártan kezelendő, annak szövege a plágiumkeresésen kívül egyéb automatizált szövegfeldolgozási célokra sem használható fel.</w:t>
      </w:r>
    </w:p>
    <w:sectPr w:rsidR="00DC26A8" w:rsidSect="007734B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7F" w:rsidRDefault="00F3357F" w:rsidP="00D43308">
      <w:pPr>
        <w:spacing w:after="0" w:line="240" w:lineRule="auto"/>
      </w:pPr>
      <w:r>
        <w:separator/>
      </w:r>
    </w:p>
  </w:endnote>
  <w:endnote w:type="continuationSeparator" w:id="0">
    <w:p w:rsidR="00F3357F" w:rsidRDefault="00F3357F" w:rsidP="00D4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7F" w:rsidRDefault="00F3357F" w:rsidP="00D43308">
      <w:pPr>
        <w:spacing w:after="0" w:line="240" w:lineRule="auto"/>
      </w:pPr>
      <w:r>
        <w:separator/>
      </w:r>
    </w:p>
  </w:footnote>
  <w:footnote w:type="continuationSeparator" w:id="0">
    <w:p w:rsidR="00F3357F" w:rsidRDefault="00F3357F" w:rsidP="00D43308">
      <w:pPr>
        <w:spacing w:after="0" w:line="240" w:lineRule="auto"/>
      </w:pPr>
      <w:r>
        <w:continuationSeparator/>
      </w:r>
    </w:p>
  </w:footnote>
  <w:footnote w:id="1">
    <w:p w:rsidR="00D43308" w:rsidRPr="00D43308" w:rsidRDefault="00D43308" w:rsidP="006E5BFB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D43308">
        <w:rPr>
          <w:sz w:val="20"/>
          <w:szCs w:val="20"/>
        </w:rPr>
        <w:t xml:space="preserve">Üzleti titok a gazdasági tevékenységhez kapcsolódó, titkos – egészben, vagy elemeinek összességeként nem közismert vagy az érintett gazdasági tevékenységet végző személyek számára nem könnyen hozzáférhető –, </w:t>
      </w:r>
      <w:proofErr w:type="gramStart"/>
      <w:r w:rsidRPr="00D43308">
        <w:rPr>
          <w:sz w:val="20"/>
          <w:szCs w:val="20"/>
        </w:rPr>
        <w:t>ennélfogva</w:t>
      </w:r>
      <w:proofErr w:type="gramEnd"/>
      <w:r w:rsidRPr="00D43308">
        <w:rPr>
          <w:sz w:val="20"/>
          <w:szCs w:val="20"/>
        </w:rPr>
        <w:t xml:space="preserve"> vagyoni értékkel bíró olyan tény, tájékoztatás, egyéb adat és az azokból készült összeállítás, amelynek a titokban tartása érdekében a titok jogosultja az adott helyzetben általában elvárható magatartást tanúsítja.</w:t>
      </w:r>
      <w:r>
        <w:rPr>
          <w:sz w:val="20"/>
          <w:szCs w:val="20"/>
        </w:rPr>
        <w:t xml:space="preserve"> </w:t>
      </w:r>
      <w:r w:rsidRPr="00D43308">
        <w:rPr>
          <w:sz w:val="20"/>
          <w:szCs w:val="20"/>
        </w:rPr>
        <w:t>Védett ismeret (know-how) az üzleti titoknak minősülő, azonosításra alkalmas módon rögzített, műszaki, gazdasági vagy szervezési ismeret, megoldás, tapasztalat vagy ezek összeállítása.</w:t>
      </w:r>
    </w:p>
  </w:footnote>
  <w:footnote w:id="2">
    <w:p w:rsidR="00270242" w:rsidRDefault="00270242">
      <w:pPr>
        <w:pStyle w:val="Lbjegyzetszveg"/>
      </w:pPr>
      <w:r>
        <w:rPr>
          <w:rStyle w:val="Lbjegyzet-hivatkozs"/>
        </w:rPr>
        <w:footnoteRef/>
      </w:r>
      <w:r>
        <w:t xml:space="preserve"> A választást a megfelelő négyzetben jelölni kell.</w:t>
      </w:r>
    </w:p>
  </w:footnote>
  <w:footnote w:id="3">
    <w:p w:rsidR="00270242" w:rsidRDefault="0027024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 választást a megfelelő négyzetben jelölni kell.</w:t>
      </w:r>
    </w:p>
  </w:footnote>
  <w:footnote w:id="4">
    <w:p w:rsidR="00D43308" w:rsidRDefault="00D43308" w:rsidP="0091690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üzleti titok jogi védelm</w:t>
      </w:r>
      <w:r w:rsidR="0091690F">
        <w:t>ének indokolt időtartama, ameddig az vagyoni értékkel bír (a gyakorlatban jellemzően 5 évet jelölnek meg</w:t>
      </w:r>
      <w:r w:rsidR="002C20D7">
        <w:t>, kitöltés hiányában ez irányadó</w:t>
      </w:r>
      <w:r w:rsidR="0091690F">
        <w:t>).</w:t>
      </w:r>
    </w:p>
  </w:footnote>
  <w:footnote w:id="5">
    <w:p w:rsidR="0091690F" w:rsidRDefault="0091690F" w:rsidP="0091690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 választási lehetőség második mondata opcionális (indokolt esetben törölhető).</w:t>
      </w:r>
    </w:p>
  </w:footnote>
  <w:footnote w:id="6">
    <w:p w:rsidR="002C20D7" w:rsidRDefault="002C20D7">
      <w:pPr>
        <w:pStyle w:val="Lbjegyzetszveg"/>
      </w:pPr>
      <w:r>
        <w:rPr>
          <w:rStyle w:val="Lbjegyzet-hivatkozs"/>
        </w:rPr>
        <w:footnoteRef/>
      </w:r>
      <w:r>
        <w:t xml:space="preserve"> E választási lehetőség harmadik mondata opcionális (indokolt esetben törölhető).</w:t>
      </w:r>
    </w:p>
  </w:footnote>
  <w:footnote w:id="7">
    <w:p w:rsidR="007734B5" w:rsidRDefault="007734B5">
      <w:pPr>
        <w:pStyle w:val="Lbjegyzetszveg"/>
      </w:pPr>
      <w:r>
        <w:rPr>
          <w:rStyle w:val="Lbjegyzet-hivatkozs"/>
        </w:rPr>
        <w:footnoteRef/>
      </w:r>
      <w:r>
        <w:t xml:space="preserve"> Elektronikus aláírással is megtehető a nyilatkozat.</w:t>
      </w:r>
      <w:r w:rsidR="00270242">
        <w:t xml:space="preserve"> A szakdolgozat mellé a </w:t>
      </w:r>
      <w:proofErr w:type="spellStart"/>
      <w:r w:rsidR="00270242">
        <w:t>Neptunba</w:t>
      </w:r>
      <w:proofErr w:type="spellEnd"/>
      <w:r w:rsidR="00270242">
        <w:t xml:space="preserve"> fel kell tölteni!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A8"/>
    <w:rsid w:val="00270242"/>
    <w:rsid w:val="002B09F9"/>
    <w:rsid w:val="002C20D7"/>
    <w:rsid w:val="00383422"/>
    <w:rsid w:val="005872C2"/>
    <w:rsid w:val="006A7DDA"/>
    <w:rsid w:val="006E5BFB"/>
    <w:rsid w:val="007734B5"/>
    <w:rsid w:val="007D5346"/>
    <w:rsid w:val="00826D84"/>
    <w:rsid w:val="008A3FE7"/>
    <w:rsid w:val="0091690F"/>
    <w:rsid w:val="00A1405C"/>
    <w:rsid w:val="00D43308"/>
    <w:rsid w:val="00DC26A8"/>
    <w:rsid w:val="00F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0436"/>
  <w15:chartTrackingRefBased/>
  <w15:docId w15:val="{D058AE2A-C614-4FD6-B66C-6DACFC48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4330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330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43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E4A7-D402-4E87-8029-8FD55AFB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561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Öveges Borbála</dc:creator>
  <cp:keywords/>
  <dc:description/>
  <cp:lastModifiedBy>Dr. Öveges Borbála</cp:lastModifiedBy>
  <cp:revision>6</cp:revision>
  <dcterms:created xsi:type="dcterms:W3CDTF">2023-10-13T15:32:00Z</dcterms:created>
  <dcterms:modified xsi:type="dcterms:W3CDTF">2023-11-11T17:28:00Z</dcterms:modified>
</cp:coreProperties>
</file>