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07DF" w14:textId="77777777" w:rsidR="00006528" w:rsidRDefault="00006528" w:rsidP="00D673EF">
      <w:pPr>
        <w:pStyle w:val="Default"/>
      </w:pPr>
    </w:p>
    <w:p w14:paraId="55BF056C" w14:textId="77777777" w:rsidR="00006528" w:rsidRDefault="00006528">
      <w:pPr>
        <w:pStyle w:val="Default"/>
        <w:rPr>
          <w:rFonts w:ascii="Times New Roman" w:hAnsi="Times New Roman" w:cs="Times New Roman"/>
          <w:sz w:val="20"/>
          <w:szCs w:val="20"/>
        </w:rPr>
      </w:pPr>
    </w:p>
    <w:p w14:paraId="1C3FF38D" w14:textId="1217E938" w:rsidR="00006528" w:rsidRDefault="008826E3">
      <w:pPr>
        <w:jc w:val="center"/>
        <w:rPr>
          <w:b/>
          <w:sz w:val="20"/>
        </w:rPr>
      </w:pPr>
      <w:r>
        <w:rPr>
          <w:b/>
          <w:sz w:val="20"/>
        </w:rPr>
        <w:t>ADATKEZELÉSI TÁJÉKOZTATÓ</w:t>
      </w:r>
    </w:p>
    <w:p w14:paraId="3A5ABB79" w14:textId="71363B6B" w:rsidR="0014616F" w:rsidRDefault="0014616F">
      <w:pPr>
        <w:jc w:val="center"/>
        <w:rPr>
          <w:b/>
          <w:sz w:val="20"/>
        </w:rPr>
      </w:pPr>
      <w:r>
        <w:rPr>
          <w:b/>
          <w:sz w:val="20"/>
        </w:rPr>
        <w:t>A</w:t>
      </w:r>
      <w:r w:rsidR="008022BD">
        <w:rPr>
          <w:b/>
          <w:sz w:val="20"/>
        </w:rPr>
        <w:t xml:space="preserve"> K</w:t>
      </w:r>
      <w:r w:rsidR="00B73A3A">
        <w:rPr>
          <w:b/>
          <w:sz w:val="20"/>
        </w:rPr>
        <w:t xml:space="preserve">ooperatív </w:t>
      </w:r>
      <w:r w:rsidR="008022BD">
        <w:rPr>
          <w:b/>
          <w:sz w:val="20"/>
        </w:rPr>
        <w:t>D</w:t>
      </w:r>
      <w:r w:rsidR="00B73A3A">
        <w:rPr>
          <w:b/>
          <w:sz w:val="20"/>
        </w:rPr>
        <w:t xml:space="preserve">oktori </w:t>
      </w:r>
      <w:r w:rsidR="008022BD">
        <w:rPr>
          <w:b/>
          <w:sz w:val="20"/>
        </w:rPr>
        <w:t>P</w:t>
      </w:r>
      <w:r w:rsidR="00B73A3A">
        <w:rPr>
          <w:b/>
          <w:sz w:val="20"/>
        </w:rPr>
        <w:t>rogram (KDP)</w:t>
      </w:r>
      <w:r w:rsidR="008022BD">
        <w:rPr>
          <w:b/>
          <w:sz w:val="20"/>
        </w:rPr>
        <w:t xml:space="preserve"> keretében 2020-tól kezdődően meghirdetett pályázati felhívásokra vonatkozóan </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422B62FD" w14:textId="52B50DB6" w:rsidR="0060564C" w:rsidRDefault="0060564C">
      <w:pPr>
        <w:jc w:val="both"/>
        <w:rPr>
          <w:sz w:val="20"/>
        </w:rPr>
      </w:pPr>
      <w:r>
        <w:rPr>
          <w:sz w:val="20"/>
        </w:rPr>
        <w:t>Az</w:t>
      </w:r>
      <w:r>
        <w:rPr>
          <w:b/>
          <w:bCs/>
          <w:sz w:val="20"/>
        </w:rPr>
        <w:t xml:space="preserve"> </w:t>
      </w:r>
      <w:r>
        <w:rPr>
          <w:sz w:val="20"/>
        </w:rPr>
        <w:t xml:space="preserve">Európai Parlament és a Tanács (EU) 2016/679 rendelete (a továbbiakban </w:t>
      </w:r>
      <w:r>
        <w:rPr>
          <w:b/>
          <w:bCs/>
          <w:sz w:val="20"/>
        </w:rPr>
        <w:t>GDPR</w:t>
      </w:r>
      <w:r>
        <w:rPr>
          <w:sz w:val="20"/>
        </w:rPr>
        <w:t xml:space="preserve">) 12. cikk (1) bekezdése értelmében az Eötvös Loránd Tudományegyetem tájékoztatja </w:t>
      </w:r>
      <w:r w:rsidRPr="00EC735B">
        <w:rPr>
          <w:sz w:val="20"/>
        </w:rPr>
        <w:t>az érintett, az ELTE</w:t>
      </w:r>
      <w:r>
        <w:rPr>
          <w:sz w:val="20"/>
        </w:rPr>
        <w:t>-n</w:t>
      </w:r>
      <w:r w:rsidR="008022BD">
        <w:rPr>
          <w:sz w:val="20"/>
        </w:rPr>
        <w:t xml:space="preserve"> az</w:t>
      </w:r>
      <w:r>
        <w:rPr>
          <w:sz w:val="20"/>
        </w:rPr>
        <w:t xml:space="preserve"> Innovációs és Technológiai </w:t>
      </w:r>
      <w:proofErr w:type="gramStart"/>
      <w:r>
        <w:rPr>
          <w:sz w:val="20"/>
        </w:rPr>
        <w:t>Minisztérium  (</w:t>
      </w:r>
      <w:proofErr w:type="gramEnd"/>
      <w:r>
        <w:rPr>
          <w:sz w:val="20"/>
        </w:rPr>
        <w:t xml:space="preserve">ITM) és a </w:t>
      </w:r>
      <w:r>
        <w:rPr>
          <w:color w:val="000000"/>
          <w:sz w:val="20"/>
          <w:shd w:val="clear" w:color="auto" w:fill="FFFFFF"/>
        </w:rPr>
        <w:t>Nemzeti Kutatási, Fejlesztési és Innovációs Hivatal</w:t>
      </w:r>
      <w:r>
        <w:rPr>
          <w:sz w:val="20"/>
        </w:rPr>
        <w:t xml:space="preserve"> (NKFIH) által</w:t>
      </w:r>
      <w:r w:rsidR="008022BD">
        <w:rPr>
          <w:sz w:val="20"/>
        </w:rPr>
        <w:t xml:space="preserve"> 2020-tól kezdődően  meghirdetett </w:t>
      </w:r>
      <w:r>
        <w:rPr>
          <w:sz w:val="20"/>
        </w:rPr>
        <w:t>Kooperatív Doktori Program</w:t>
      </w:r>
      <w:r w:rsidR="008022BD">
        <w:rPr>
          <w:sz w:val="20"/>
        </w:rPr>
        <w:t xml:space="preserve"> (KDP) keretében </w:t>
      </w:r>
      <w:r>
        <w:rPr>
          <w:sz w:val="20"/>
        </w:rPr>
        <w:t>elnyert pályázatokkal kapcsolatos adatkezelésről</w:t>
      </w:r>
      <w:r w:rsidR="008022BD">
        <w:rPr>
          <w:sz w:val="20"/>
        </w:rPr>
        <w:t>.</w:t>
      </w:r>
    </w:p>
    <w:p w14:paraId="1C05424F" w14:textId="77777777" w:rsidR="0060564C" w:rsidRDefault="0060564C">
      <w:pPr>
        <w:jc w:val="both"/>
        <w:rPr>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1EEC1B61" w:rsidR="00006528" w:rsidRDefault="008826E3">
      <w:pPr>
        <w:jc w:val="both"/>
        <w:rPr>
          <w:b/>
          <w:sz w:val="20"/>
        </w:rPr>
      </w:pPr>
      <w:r>
        <w:rPr>
          <w:b/>
          <w:sz w:val="20"/>
        </w:rPr>
        <w:t>Adatkezelő:</w:t>
      </w:r>
    </w:p>
    <w:p w14:paraId="0B2F25A4" w14:textId="06DBF1C3" w:rsidR="00006528" w:rsidRDefault="008826E3">
      <w:pPr>
        <w:jc w:val="both"/>
        <w:rPr>
          <w:b/>
          <w:sz w:val="20"/>
        </w:rPr>
      </w:pPr>
      <w:r>
        <w:rPr>
          <w:b/>
          <w:sz w:val="20"/>
        </w:rPr>
        <w:t>Eötvös Loránd Tudományegyetem</w:t>
      </w:r>
    </w:p>
    <w:p w14:paraId="2AC3A998" w14:textId="287100C3" w:rsidR="00006528" w:rsidRDefault="008826E3">
      <w:pPr>
        <w:jc w:val="both"/>
        <w:rPr>
          <w:sz w:val="20"/>
        </w:rPr>
      </w:pPr>
      <w:r>
        <w:rPr>
          <w:sz w:val="20"/>
        </w:rPr>
        <w:t>1053 Budapest, Egyetem tér 1-3.</w:t>
      </w:r>
    </w:p>
    <w:p w14:paraId="12370DE3" w14:textId="4474B00C" w:rsidR="00FC4F1A" w:rsidRDefault="00FC4F1A">
      <w:pPr>
        <w:jc w:val="both"/>
        <w:rPr>
          <w:sz w:val="20"/>
        </w:rPr>
      </w:pPr>
      <w:r>
        <w:rPr>
          <w:sz w:val="20"/>
        </w:rPr>
        <w:t>Az ELTE-n a KDP ösztöndíjprogram lebonyolításában résztvevő valamennyi szervezeti egység (Rektori Kabinet Tudománypolitikai Irod</w:t>
      </w:r>
      <w:r w:rsidR="0014616F">
        <w:rPr>
          <w:sz w:val="20"/>
        </w:rPr>
        <w:t>a és Egyetemi Stratégiai Iroda</w:t>
      </w:r>
      <w:r>
        <w:rPr>
          <w:sz w:val="20"/>
        </w:rPr>
        <w:t>, Kancellária Központi Gazdasági Hivatal, Oktatási Igazgatóság, kari gazdasági hivatalok és doktori iskolák) vezetői és a KDP ügyintézésével megbízott munkatársai.</w:t>
      </w:r>
    </w:p>
    <w:p w14:paraId="22A8D5EA" w14:textId="2F2F4543" w:rsidR="00006528" w:rsidRPr="002C6FD8" w:rsidRDefault="00FC4F1A" w:rsidP="002C6FD8">
      <w:pPr>
        <w:jc w:val="both"/>
        <w:rPr>
          <w:sz w:val="20"/>
        </w:rPr>
      </w:pPr>
      <w:r w:rsidRPr="002C6FD8">
        <w:rPr>
          <w:sz w:val="20"/>
        </w:rPr>
        <w:t xml:space="preserve">Kapcsolattartó: ELTE Rektori Kabinet </w:t>
      </w:r>
      <w:r w:rsidR="00F04308">
        <w:rPr>
          <w:sz w:val="20"/>
        </w:rPr>
        <w:t xml:space="preserve">Egyetemi Stratégiai Iroda és ELTE Rektori Kabinet </w:t>
      </w:r>
      <w:r w:rsidRPr="002C6FD8">
        <w:rPr>
          <w:sz w:val="20"/>
        </w:rPr>
        <w:t>Tudománypolitikai Iroda, kdp@rk.elte.hu</w:t>
      </w:r>
    </w:p>
    <w:p w14:paraId="4223312C" w14:textId="77777777" w:rsidR="00006528" w:rsidRDefault="00006528" w:rsidP="00FC4F1A">
      <w:pPr>
        <w:pStyle w:val="Listaszerbekezds"/>
        <w:spacing w:after="0" w:line="240" w:lineRule="auto"/>
        <w:ind w:left="142"/>
        <w:jc w:val="both"/>
        <w:rPr>
          <w:rFonts w:ascii="Times New Roman" w:hAnsi="Times New Roman"/>
          <w:sz w:val="20"/>
          <w:szCs w:val="20"/>
        </w:rPr>
      </w:pPr>
    </w:p>
    <w:p w14:paraId="5B22438B" w14:textId="178F256B" w:rsidR="00006528" w:rsidRDefault="008826E3" w:rsidP="00FC4F1A">
      <w:pPr>
        <w:jc w:val="both"/>
        <w:rPr>
          <w:b/>
          <w:sz w:val="20"/>
        </w:rPr>
      </w:pPr>
      <w:r>
        <w:rPr>
          <w:b/>
          <w:sz w:val="20"/>
        </w:rPr>
        <w:t xml:space="preserve">Adatfeldolgozó: </w:t>
      </w:r>
      <w:r w:rsidRPr="00FC4F1A">
        <w:rPr>
          <w:sz w:val="20"/>
        </w:rPr>
        <w:t>Adatfeldolgo</w:t>
      </w:r>
      <w:r w:rsidR="00FC4F1A">
        <w:rPr>
          <w:sz w:val="20"/>
        </w:rPr>
        <w:t>zó igénybevételére nem kerül sor.</w:t>
      </w:r>
    </w:p>
    <w:p w14:paraId="4C860E2D" w14:textId="77777777" w:rsidR="00006528" w:rsidRDefault="00006528" w:rsidP="00FC4F1A">
      <w:pPr>
        <w:jc w:val="both"/>
        <w:rPr>
          <w:b/>
          <w:sz w:val="20"/>
        </w:rPr>
      </w:pPr>
    </w:p>
    <w:p w14:paraId="4DDAB6A7" w14:textId="513178DB" w:rsidR="00006528" w:rsidRDefault="008826E3" w:rsidP="00FC4F1A">
      <w:pPr>
        <w:jc w:val="both"/>
        <w:rPr>
          <w:bCs/>
          <w:i/>
          <w:sz w:val="20"/>
        </w:rPr>
      </w:pPr>
      <w:r>
        <w:rPr>
          <w:b/>
          <w:sz w:val="20"/>
          <w:u w:val="single"/>
        </w:rPr>
        <w:t>Mire használjuk az Ön adatait?</w:t>
      </w:r>
      <w:r w:rsidR="00FC4F1A">
        <w:rPr>
          <w:sz w:val="20"/>
        </w:rPr>
        <w:t xml:space="preserve"> Az adatkezelés a </w:t>
      </w:r>
      <w:r w:rsidR="008022BD">
        <w:rPr>
          <w:sz w:val="20"/>
        </w:rPr>
        <w:t xml:space="preserve">2020-tól kezdődően a </w:t>
      </w:r>
      <w:r w:rsidR="0014616F">
        <w:rPr>
          <w:sz w:val="20"/>
        </w:rPr>
        <w:t xml:space="preserve">Kooperatív Doktori Programban </w:t>
      </w:r>
      <w:r w:rsidR="00FC4F1A">
        <w:rPr>
          <w:sz w:val="20"/>
        </w:rPr>
        <w:t>nyertes pályázókkal ösztöndíjszerződés megkötése és az ösztöndíjprogram megvalósítása</w:t>
      </w:r>
      <w:r w:rsidR="002C3713">
        <w:rPr>
          <w:sz w:val="20"/>
        </w:rPr>
        <w:t xml:space="preserve"> és szabályszerű elszámolása</w:t>
      </w:r>
      <w:r w:rsidR="00FC4F1A">
        <w:rPr>
          <w:sz w:val="20"/>
        </w:rPr>
        <w:t xml:space="preserve"> érdekében történik</w:t>
      </w:r>
      <w:r w:rsidR="00B73A3A">
        <w:rPr>
          <w:sz w:val="20"/>
        </w:rPr>
        <w:t>.</w:t>
      </w:r>
    </w:p>
    <w:p w14:paraId="7C057E34" w14:textId="77777777" w:rsidR="00006528" w:rsidRDefault="00006528">
      <w:pPr>
        <w:jc w:val="both"/>
        <w:rPr>
          <w:b/>
          <w:sz w:val="20"/>
          <w:u w:val="single"/>
        </w:rPr>
      </w:pPr>
    </w:p>
    <w:p w14:paraId="1280DFD2" w14:textId="26611627" w:rsidR="00006528" w:rsidRPr="00FC4F1A" w:rsidRDefault="008826E3" w:rsidP="00FC4F1A">
      <w:pPr>
        <w:jc w:val="both"/>
        <w:rPr>
          <w:sz w:val="20"/>
        </w:rPr>
      </w:pPr>
      <w:r>
        <w:rPr>
          <w:b/>
          <w:sz w:val="20"/>
          <w:u w:val="single"/>
        </w:rPr>
        <w:t>Mely adatait fogjuk kezelni?</w:t>
      </w:r>
      <w:r w:rsidR="00FC4F1A">
        <w:rPr>
          <w:b/>
          <w:sz w:val="20"/>
        </w:rPr>
        <w:t xml:space="preserve"> </w:t>
      </w:r>
      <w:r w:rsidR="00FC4F1A">
        <w:rPr>
          <w:sz w:val="20"/>
        </w:rPr>
        <w:t>A KDP ösztöndíjszerződésének megkötéséhez szükséges, az abban feltüntetett adatok</w:t>
      </w:r>
      <w:r w:rsidR="00334922">
        <w:rPr>
          <w:sz w:val="20"/>
        </w:rPr>
        <w:t xml:space="preserve"> és az ösztöndíj átutalásához nélkülözhetetlen adatok</w:t>
      </w:r>
      <w:r w:rsidR="002C3713">
        <w:rPr>
          <w:sz w:val="20"/>
        </w:rPr>
        <w:t>, amelyeket az érintett közölt</w:t>
      </w:r>
      <w:r w:rsidR="00334922">
        <w:rPr>
          <w:sz w:val="20"/>
        </w:rPr>
        <w:t>.</w:t>
      </w:r>
      <w:r w:rsidR="002C3713">
        <w:rPr>
          <w:sz w:val="20"/>
        </w:rPr>
        <w:t xml:space="preserve"> Az NKFIH-</w:t>
      </w:r>
      <w:proofErr w:type="spellStart"/>
      <w:r w:rsidR="002C3713">
        <w:rPr>
          <w:sz w:val="20"/>
        </w:rPr>
        <w:t>tól</w:t>
      </w:r>
      <w:proofErr w:type="spellEnd"/>
      <w:r w:rsidR="002C3713">
        <w:rPr>
          <w:sz w:val="20"/>
        </w:rPr>
        <w:t xml:space="preserve"> származó adatok: ösztöndíjas neve és emailcíme, ösztöndíjas időszak időtartama, ösztöndíj összege, doktori iskolája, munkáltatója, témavezetője és vállalati szakértője.</w:t>
      </w:r>
    </w:p>
    <w:p w14:paraId="75172638" w14:textId="77777777" w:rsidR="00006528" w:rsidRDefault="00006528">
      <w:pPr>
        <w:jc w:val="both"/>
        <w:rPr>
          <w:b/>
          <w:sz w:val="20"/>
          <w:u w:val="single"/>
        </w:rPr>
      </w:pPr>
    </w:p>
    <w:p w14:paraId="1422359F" w14:textId="2D72CB3D" w:rsidR="00006528" w:rsidRDefault="008826E3" w:rsidP="00F374A2">
      <w:pPr>
        <w:jc w:val="both"/>
        <w:rPr>
          <w:i/>
          <w:sz w:val="20"/>
        </w:rPr>
      </w:pPr>
      <w:r>
        <w:rPr>
          <w:b/>
          <w:sz w:val="20"/>
          <w:u w:val="single"/>
        </w:rPr>
        <w:t>Milyen</w:t>
      </w:r>
      <w:r w:rsidR="00F374A2">
        <w:rPr>
          <w:b/>
          <w:sz w:val="20"/>
          <w:u w:val="single"/>
        </w:rPr>
        <w:t xml:space="preserve"> alapon kezeljük az Ön adatait?</w:t>
      </w:r>
    </w:p>
    <w:p w14:paraId="7CE20FA1" w14:textId="2F2A6B5B" w:rsidR="00006528" w:rsidRDefault="008826E3" w:rsidP="0087402C">
      <w:pPr>
        <w:spacing w:before="100" w:beforeAutospacing="1" w:after="100" w:afterAutospacing="1"/>
        <w:jc w:val="both"/>
        <w:outlineLvl w:val="0"/>
        <w:rPr>
          <w:sz w:val="20"/>
        </w:rPr>
      </w:pPr>
      <w:r w:rsidRPr="00F374A2">
        <w:rPr>
          <w:sz w:val="20"/>
          <w:shd w:val="clear" w:color="auto" w:fill="FFFFFF"/>
        </w:rPr>
        <w:t>Mert az adatkezelés közérdekű feladat végrehajtásához szükséges</w:t>
      </w:r>
      <w:r w:rsidR="00334922" w:rsidRPr="00F374A2">
        <w:rPr>
          <w:sz w:val="20"/>
          <w:shd w:val="clear" w:color="auto" w:fill="FFFFFF"/>
        </w:rPr>
        <w:t xml:space="preserve"> (GDPR 6. cikk (1) e) pontja, a </w:t>
      </w:r>
      <w:r w:rsidR="00F374A2" w:rsidRPr="00F374A2">
        <w:rPr>
          <w:sz w:val="20"/>
          <w:shd w:val="clear" w:color="auto" w:fill="FFFFFF"/>
        </w:rPr>
        <w:t xml:space="preserve">tudományos kutatásról, fejlesztésről és innovációról szóló </w:t>
      </w:r>
      <w:r w:rsidR="00F374A2" w:rsidRPr="00F374A2">
        <w:rPr>
          <w:rFonts w:eastAsiaTheme="minorHAnsi"/>
          <w:sz w:val="20"/>
        </w:rPr>
        <w:t>2014. évi LXXVI. törvény</w:t>
      </w:r>
      <w:r w:rsidR="0087402C">
        <w:rPr>
          <w:rFonts w:eastAsiaTheme="minorHAnsi"/>
          <w:sz w:val="20"/>
        </w:rPr>
        <w:t xml:space="preserve">, valamint a Nemzeti Kutatási, Fejlesztési és Innovációs Alap kezelő szervének kijelöléséről szóló </w:t>
      </w:r>
      <w:r w:rsidR="0087402C" w:rsidRPr="00CA0B5D">
        <w:rPr>
          <w:kern w:val="36"/>
          <w:sz w:val="20"/>
        </w:rPr>
        <w:t>344/2019. (XII. 23.) Korm. rendelet</w:t>
      </w:r>
      <w:r w:rsidR="00F374A2" w:rsidRPr="00F374A2">
        <w:rPr>
          <w:rFonts w:eastAsiaTheme="minorHAnsi"/>
          <w:sz w:val="20"/>
        </w:rPr>
        <w:t>alapján.</w:t>
      </w:r>
      <w:r w:rsidRPr="00334922">
        <w:rPr>
          <w:i/>
          <w:sz w:val="20"/>
        </w:rPr>
        <w:t xml:space="preserve"> </w:t>
      </w:r>
      <w:r w:rsidRPr="00334922">
        <w:rPr>
          <w:sz w:val="20"/>
        </w:rPr>
        <w:t>Ön, mint érintett, jogosult arra, hogy a saját helyzetével kapcsolatos okokból bármikor tiltakozzon személyes adatainak a fenti kezelése ellen, ideértve az említett rendelkezéseken alapuló profilalkotást</w:t>
      </w:r>
      <w:r w:rsidRPr="00334922">
        <w:rPr>
          <w:rStyle w:val="Lbjegyzet-hivatkozs"/>
          <w:sz w:val="20"/>
        </w:rPr>
        <w:footnoteReference w:id="1"/>
      </w:r>
      <w:r w:rsidRPr="00334922">
        <w:rPr>
          <w:sz w:val="20"/>
        </w:rPr>
        <w:t xml:space="preserve"> is.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077E95CB" w14:textId="77777777" w:rsidR="00006528" w:rsidRDefault="00006528">
      <w:pPr>
        <w:jc w:val="both"/>
        <w:rPr>
          <w:sz w:val="20"/>
        </w:rPr>
      </w:pPr>
    </w:p>
    <w:p w14:paraId="1E453B6E" w14:textId="03758F49" w:rsidR="00006528" w:rsidRDefault="008826E3">
      <w:pPr>
        <w:jc w:val="both"/>
        <w:rPr>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2"/>
      </w:r>
      <w:r>
        <w:rPr>
          <w:b/>
          <w:color w:val="000000"/>
          <w:sz w:val="20"/>
          <w:u w:val="single"/>
        </w:rPr>
        <w:t>, illetve a címzettek kategóriái</w:t>
      </w:r>
      <w:r>
        <w:rPr>
          <w:sz w:val="20"/>
        </w:rPr>
        <w:t xml:space="preserve">: </w:t>
      </w:r>
    </w:p>
    <w:p w14:paraId="5006987E" w14:textId="77777777" w:rsidR="002C3713" w:rsidRDefault="002C3713">
      <w:pPr>
        <w:jc w:val="both"/>
        <w:rPr>
          <w:i/>
          <w:sz w:val="20"/>
        </w:rPr>
      </w:pPr>
    </w:p>
    <w:p w14:paraId="5A81CF88" w14:textId="5BCB63DA" w:rsidR="002C3713" w:rsidRPr="0020704A" w:rsidRDefault="002C3713" w:rsidP="002C3713">
      <w:pPr>
        <w:jc w:val="both"/>
        <w:rPr>
          <w:sz w:val="20"/>
        </w:rPr>
      </w:pPr>
      <w:r w:rsidRPr="00334922">
        <w:rPr>
          <w:color w:val="000000"/>
          <w:sz w:val="20"/>
          <w:shd w:val="clear" w:color="auto" w:fill="FFFFFF"/>
        </w:rPr>
        <w:t>Nemzeti Kutatási, Fejlesztés</w:t>
      </w:r>
      <w:r>
        <w:rPr>
          <w:color w:val="000000"/>
          <w:sz w:val="20"/>
          <w:shd w:val="clear" w:color="auto" w:fill="FFFFFF"/>
        </w:rPr>
        <w:t xml:space="preserve">i és Innovációs Hivatal a Támogatói okirat szerint az ösztöndíjszerződések ellenőrzése </w:t>
      </w:r>
      <w:r w:rsidRPr="0020704A">
        <w:rPr>
          <w:color w:val="000000"/>
          <w:sz w:val="20"/>
          <w:shd w:val="clear" w:color="auto" w:fill="FFFFFF"/>
        </w:rPr>
        <w:t>céljábó</w:t>
      </w:r>
      <w:r>
        <w:rPr>
          <w:color w:val="000000"/>
          <w:sz w:val="20"/>
          <w:shd w:val="clear" w:color="auto" w:fill="FFFFFF"/>
        </w:rPr>
        <w:t>l, az abban található adatokkal,</w:t>
      </w:r>
      <w:r w:rsidRPr="0020704A">
        <w:rPr>
          <w:color w:val="000000"/>
          <w:sz w:val="20"/>
          <w:shd w:val="clear" w:color="auto" w:fill="FFFFFF"/>
        </w:rPr>
        <w:t xml:space="preserve"> amelyek a következők: </w:t>
      </w:r>
      <w:r w:rsidRPr="0020704A">
        <w:rPr>
          <w:sz w:val="20"/>
        </w:rPr>
        <w:t>név, születési név, szül. hely, idő, anyja születéskori neve, lakóhely, tartózkodási hely, adóazonosító jel, TAJ szám, számlavezető bank neve, számlaszám</w:t>
      </w:r>
      <w:r>
        <w:rPr>
          <w:sz w:val="20"/>
        </w:rPr>
        <w:t xml:space="preserve">, </w:t>
      </w:r>
      <w:r w:rsidRPr="0020704A">
        <w:rPr>
          <w:sz w:val="20"/>
        </w:rPr>
        <w:t>állampolgárság, e-mail cím, kutatási téma, ösztöndíj összege.</w:t>
      </w:r>
    </w:p>
    <w:p w14:paraId="6105A4A7" w14:textId="77777777" w:rsidR="00006528" w:rsidRDefault="00006528">
      <w:pPr>
        <w:jc w:val="both"/>
        <w:rPr>
          <w:b/>
          <w:color w:val="000000"/>
          <w:sz w:val="20"/>
          <w:u w:val="single"/>
        </w:rPr>
      </w:pPr>
    </w:p>
    <w:p w14:paraId="308A95A0" w14:textId="646C6930" w:rsidR="00006528" w:rsidRDefault="008826E3">
      <w:pPr>
        <w:jc w:val="both"/>
        <w:rPr>
          <w:color w:val="000000"/>
          <w:shd w:val="clear" w:color="auto" w:fill="FFFFFF"/>
        </w:rPr>
      </w:pPr>
      <w:r>
        <w:rPr>
          <w:b/>
          <w:color w:val="000000"/>
          <w:sz w:val="20"/>
          <w:u w:val="single"/>
        </w:rPr>
        <w:lastRenderedPageBreak/>
        <w:t>Adattovábbítás</w:t>
      </w:r>
      <w:r w:rsidR="0020704A">
        <w:rPr>
          <w:b/>
          <w:color w:val="000000"/>
          <w:sz w:val="20"/>
          <w:u w:val="single"/>
        </w:rPr>
        <w:t xml:space="preserve"> </w:t>
      </w:r>
      <w:r>
        <w:rPr>
          <w:b/>
          <w:color w:val="000000"/>
          <w:sz w:val="20"/>
          <w:u w:val="single"/>
        </w:rPr>
        <w:t>harmadik országba</w:t>
      </w:r>
      <w:r>
        <w:rPr>
          <w:rStyle w:val="Lbjegyzet-hivatkozs"/>
          <w:b/>
          <w:color w:val="000000"/>
          <w:sz w:val="20"/>
          <w:u w:val="single"/>
        </w:rPr>
        <w:footnoteReference w:id="3"/>
      </w:r>
      <w:r>
        <w:rPr>
          <w:b/>
          <w:color w:val="000000"/>
          <w:sz w:val="20"/>
          <w:u w:val="single"/>
        </w:rPr>
        <w:t>/</w:t>
      </w:r>
      <w:r w:rsidR="0020704A">
        <w:rPr>
          <w:b/>
          <w:color w:val="000000"/>
          <w:sz w:val="20"/>
          <w:u w:val="single"/>
        </w:rPr>
        <w:t xml:space="preserve">nemzeti vagy </w:t>
      </w:r>
      <w:r>
        <w:rPr>
          <w:b/>
          <w:color w:val="000000"/>
          <w:sz w:val="20"/>
          <w:u w:val="single"/>
        </w:rPr>
        <w:t>nemzetközi szervezethez:</w:t>
      </w:r>
      <w:r>
        <w:rPr>
          <w:color w:val="000000"/>
          <w:shd w:val="clear" w:color="auto" w:fill="FFFFFF"/>
        </w:rPr>
        <w:t xml:space="preserve"> </w:t>
      </w:r>
      <w:r w:rsidR="0054598B">
        <w:rPr>
          <w:color w:val="000000"/>
          <w:shd w:val="clear" w:color="auto" w:fill="FFFFFF"/>
        </w:rPr>
        <w:t>-</w:t>
      </w:r>
    </w:p>
    <w:p w14:paraId="7FFD8F74" w14:textId="77777777" w:rsidR="0020704A" w:rsidRDefault="0020704A">
      <w:pPr>
        <w:jc w:val="both"/>
        <w:rPr>
          <w:color w:val="000000"/>
          <w:sz w:val="20"/>
          <w:shd w:val="clear" w:color="auto" w:fill="FFFFFF"/>
        </w:rPr>
      </w:pPr>
    </w:p>
    <w:p w14:paraId="420F5424" w14:textId="77777777" w:rsidR="0020704A" w:rsidRPr="00334922" w:rsidRDefault="0020704A">
      <w:pPr>
        <w:jc w:val="both"/>
        <w:rPr>
          <w:color w:val="000000"/>
          <w:sz w:val="20"/>
        </w:rPr>
      </w:pPr>
    </w:p>
    <w:p w14:paraId="4F9AF7BC" w14:textId="77777777" w:rsidR="00006528" w:rsidRDefault="00006528">
      <w:pPr>
        <w:jc w:val="both"/>
        <w:rPr>
          <w:sz w:val="20"/>
        </w:rPr>
      </w:pPr>
    </w:p>
    <w:p w14:paraId="3CAEBDD1" w14:textId="77777777" w:rsidR="00EA1C25" w:rsidRDefault="008826E3">
      <w:pPr>
        <w:jc w:val="both"/>
        <w:rPr>
          <w:sz w:val="20"/>
        </w:rPr>
      </w:pPr>
      <w:r>
        <w:rPr>
          <w:b/>
          <w:sz w:val="20"/>
          <w:u w:val="single"/>
        </w:rPr>
        <w:t>Meddig kezeljük az Ön adatait?</w:t>
      </w:r>
      <w:r>
        <w:rPr>
          <w:sz w:val="20"/>
        </w:rPr>
        <w:t xml:space="preserve"> </w:t>
      </w:r>
    </w:p>
    <w:p w14:paraId="0F81EB12" w14:textId="0CA437EF" w:rsidR="00D458A3" w:rsidRDefault="00EA1C25">
      <w:pPr>
        <w:jc w:val="both"/>
        <w:rPr>
          <w:sz w:val="20"/>
        </w:rPr>
      </w:pPr>
      <w:r>
        <w:rPr>
          <w:sz w:val="20"/>
        </w:rPr>
        <w:t xml:space="preserve">A </w:t>
      </w:r>
      <w:r w:rsidR="00F04308">
        <w:rPr>
          <w:sz w:val="20"/>
        </w:rPr>
        <w:t xml:space="preserve">Kulturális és </w:t>
      </w:r>
      <w:r>
        <w:rPr>
          <w:sz w:val="20"/>
        </w:rPr>
        <w:t>Innovációs Minisztérium</w:t>
      </w:r>
      <w:r w:rsidR="00F04308">
        <w:rPr>
          <w:sz w:val="20"/>
        </w:rPr>
        <w:t>mal</w:t>
      </w:r>
      <w:r>
        <w:rPr>
          <w:sz w:val="20"/>
        </w:rPr>
        <w:t>, mint Támogatóval és az NKFIH-</w:t>
      </w:r>
      <w:proofErr w:type="spellStart"/>
      <w:r>
        <w:rPr>
          <w:sz w:val="20"/>
        </w:rPr>
        <w:t>val</w:t>
      </w:r>
      <w:proofErr w:type="spellEnd"/>
      <w:r>
        <w:rPr>
          <w:sz w:val="20"/>
        </w:rPr>
        <w:t>, mint Kezelő szervvel</w:t>
      </w:r>
      <w:r w:rsidR="00D458A3">
        <w:rPr>
          <w:sz w:val="20"/>
        </w:rPr>
        <w:t xml:space="preserve"> való elszámolásig azzal, </w:t>
      </w:r>
      <w:proofErr w:type="spellStart"/>
      <w:r w:rsidR="00D458A3">
        <w:rPr>
          <w:sz w:val="20"/>
        </w:rPr>
        <w:t>hogyaz</w:t>
      </w:r>
      <w:proofErr w:type="spellEnd"/>
      <w:r w:rsidR="00D458A3">
        <w:rPr>
          <w:sz w:val="20"/>
        </w:rPr>
        <w:t xml:space="preserve"> ELTE Irattári terve</w:t>
      </w:r>
      <w:r w:rsidR="00D458A3">
        <w:rPr>
          <w:rStyle w:val="Lbjegyzet-hivatkozs"/>
          <w:sz w:val="20"/>
        </w:rPr>
        <w:footnoteReference w:id="4"/>
      </w:r>
      <w:r w:rsidR="00D458A3">
        <w:rPr>
          <w:sz w:val="20"/>
        </w:rPr>
        <w:t xml:space="preserve"> szerint az ELTE a papír alapú dokumentumokat 15 év megőrzési idő elteltével adja át a Levéltárnak.</w:t>
      </w:r>
    </w:p>
    <w:p w14:paraId="693193ED" w14:textId="77777777" w:rsidR="00006528" w:rsidRDefault="00006528">
      <w:pPr>
        <w:ind w:firstLine="204"/>
        <w:jc w:val="both"/>
        <w:rPr>
          <w:sz w:val="20"/>
        </w:rPr>
      </w:pPr>
    </w:p>
    <w:p w14:paraId="095FCD37" w14:textId="77777777" w:rsidR="00006528" w:rsidRDefault="00006528">
      <w:pPr>
        <w:jc w:val="both"/>
        <w:rPr>
          <w:bCs/>
          <w:sz w:val="20"/>
          <w:u w:val="single"/>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3C44597D" w14:textId="77777777" w:rsidR="008F2B3F" w:rsidRPr="008F2B3F" w:rsidRDefault="008F2B3F" w:rsidP="008F2B3F">
      <w:pPr>
        <w:numPr>
          <w:ilvl w:val="0"/>
          <w:numId w:val="3"/>
        </w:numPr>
        <w:jc w:val="both"/>
        <w:rPr>
          <w:b/>
          <w:sz w:val="20"/>
        </w:rPr>
      </w:pPr>
      <w:r w:rsidRPr="008F2B3F">
        <w:rPr>
          <w:b/>
          <w:sz w:val="20"/>
        </w:rPr>
        <w:t>az átlátható tájékoztatáshoz való jog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2529D75F" w14:textId="77777777" w:rsidR="008F2B3F" w:rsidRPr="008F2B3F" w:rsidRDefault="008F2B3F" w:rsidP="008F2B3F">
      <w:pPr>
        <w:numPr>
          <w:ilvl w:val="0"/>
          <w:numId w:val="3"/>
        </w:numPr>
        <w:jc w:val="both"/>
        <w:rPr>
          <w:b/>
          <w:sz w:val="20"/>
        </w:rPr>
      </w:pPr>
      <w:r w:rsidRPr="008F2B3F">
        <w:rPr>
          <w:b/>
          <w:sz w:val="20"/>
        </w:rPr>
        <w:t>a személyes adataihoz való hozzáférés joga – Ön bármikor megkérdezheti az adatkezelőtől, hogy személyes adatainak kezelése folyamatban van-e, az adatkezelésről teljes körű tájékoztatást kérhet, továbbá kérheti, hogy személyes adatairól másolatot kapjon;</w:t>
      </w:r>
    </w:p>
    <w:p w14:paraId="51380B83" w14:textId="77777777" w:rsidR="008F2B3F" w:rsidRPr="008F2B3F" w:rsidRDefault="008F2B3F" w:rsidP="008F2B3F">
      <w:pPr>
        <w:numPr>
          <w:ilvl w:val="0"/>
          <w:numId w:val="3"/>
        </w:numPr>
        <w:jc w:val="both"/>
        <w:rPr>
          <w:b/>
          <w:sz w:val="20"/>
        </w:rPr>
      </w:pPr>
      <w:r w:rsidRPr="008F2B3F">
        <w:rPr>
          <w:b/>
          <w:sz w:val="20"/>
        </w:rPr>
        <w:t xml:space="preserve">személyes adatai helyesbítéséhez való jog – Ön kérheti, hogy az adatkezelő az Ön pontatlan személyes adatait javítsa ki, vagy ha hiányosak, azokat egészítse ki; </w:t>
      </w:r>
    </w:p>
    <w:p w14:paraId="6E1E7CAD" w14:textId="77777777" w:rsidR="008F2B3F" w:rsidRPr="008F2B3F" w:rsidRDefault="008F2B3F" w:rsidP="008F2B3F">
      <w:pPr>
        <w:numPr>
          <w:ilvl w:val="0"/>
          <w:numId w:val="3"/>
        </w:numPr>
        <w:jc w:val="both"/>
        <w:rPr>
          <w:b/>
          <w:sz w:val="20"/>
        </w:rPr>
      </w:pPr>
      <w:r w:rsidRPr="008F2B3F">
        <w:rPr>
          <w:b/>
          <w:sz w:val="20"/>
        </w:rPr>
        <w:t>személyes adatainak törléséhez való jog – Ön kérheti, hogy személyes adatait az adatkezelő törölje;</w:t>
      </w:r>
    </w:p>
    <w:p w14:paraId="22A1DBC1" w14:textId="77777777" w:rsidR="008F2B3F" w:rsidRPr="008F2B3F" w:rsidRDefault="008F2B3F" w:rsidP="008F2B3F">
      <w:pPr>
        <w:numPr>
          <w:ilvl w:val="0"/>
          <w:numId w:val="3"/>
        </w:numPr>
        <w:jc w:val="both"/>
        <w:rPr>
          <w:b/>
          <w:sz w:val="20"/>
        </w:rPr>
      </w:pPr>
      <w:r w:rsidRPr="008F2B3F">
        <w:rPr>
          <w:b/>
          <w:sz w:val="20"/>
        </w:rPr>
        <w:t>az adatkezelés korlátozásához való jog – Ön (pl. jogi igények előterjesztése, érvényesítése vagy védelme érdekében) kérheti, hogy személyes adatait az adatkezelő csak tárolja, és más módon ne kezelje;</w:t>
      </w:r>
    </w:p>
    <w:p w14:paraId="36784BF6" w14:textId="77777777" w:rsidR="008F2B3F" w:rsidRPr="008F2B3F" w:rsidRDefault="008F2B3F" w:rsidP="008F2B3F">
      <w:pPr>
        <w:numPr>
          <w:ilvl w:val="0"/>
          <w:numId w:val="3"/>
        </w:numPr>
        <w:jc w:val="both"/>
        <w:rPr>
          <w:b/>
          <w:sz w:val="20"/>
        </w:rPr>
      </w:pPr>
      <w:r w:rsidRPr="008F2B3F">
        <w:rPr>
          <w:b/>
          <w:sz w:val="20"/>
        </w:rPr>
        <w:t xml:space="preserve">a helyesbítésről, törlésről vagy adatkezelés-korlátozásról tájékoztatott címzettek személyére vonatkozó tájékoztatás – kérésére tájékoztatjuk Önt a hivatkozott címzettekről; </w:t>
      </w:r>
    </w:p>
    <w:p w14:paraId="4006F5D5" w14:textId="77777777" w:rsidR="008F2B3F" w:rsidRPr="008F2B3F" w:rsidRDefault="008F2B3F" w:rsidP="008F2B3F">
      <w:pPr>
        <w:numPr>
          <w:ilvl w:val="0"/>
          <w:numId w:val="3"/>
        </w:numPr>
        <w:jc w:val="both"/>
        <w:rPr>
          <w:b/>
          <w:sz w:val="20"/>
        </w:rPr>
      </w:pPr>
      <w:r w:rsidRPr="008F2B3F">
        <w:rPr>
          <w:b/>
          <w:sz w:val="20"/>
        </w:rPr>
        <w:t>adathordozhatósághoz való jog – 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p>
    <w:p w14:paraId="6611C192" w14:textId="77777777" w:rsidR="008F2B3F" w:rsidRPr="008F2B3F" w:rsidRDefault="008F2B3F" w:rsidP="008F2B3F">
      <w:pPr>
        <w:numPr>
          <w:ilvl w:val="0"/>
          <w:numId w:val="3"/>
        </w:numPr>
        <w:jc w:val="both"/>
        <w:rPr>
          <w:b/>
          <w:sz w:val="20"/>
        </w:rPr>
      </w:pPr>
      <w:r w:rsidRPr="008F2B3F">
        <w:rPr>
          <w:b/>
          <w:sz w:val="20"/>
        </w:rPr>
        <w:t xml:space="preserve">tiltakozáshoz való jog – Ön bármikor tiltakozhat személyes adatainak kezelése ellen, feltéve, hogy az adatkezelés jogalapja jogos érdek vagy az adatkezelés </w:t>
      </w:r>
      <w:proofErr w:type="gramStart"/>
      <w:r w:rsidRPr="008F2B3F">
        <w:rPr>
          <w:b/>
          <w:sz w:val="20"/>
        </w:rPr>
        <w:t>közérdekű</w:t>
      </w:r>
      <w:proofErr w:type="gramEnd"/>
      <w:r w:rsidRPr="008F2B3F">
        <w:rPr>
          <w:b/>
          <w:sz w:val="20"/>
        </w:rPr>
        <w:t xml:space="preserve"> vagy az adatkezelőre ruházott közhatalmi jogosítvány gyakorlásának keretében végzett feladat végrehajtásához szükséges; </w:t>
      </w:r>
    </w:p>
    <w:p w14:paraId="523BEC08" w14:textId="77777777" w:rsidR="008F2B3F" w:rsidRPr="008F2B3F" w:rsidRDefault="008F2B3F" w:rsidP="008F2B3F">
      <w:pPr>
        <w:numPr>
          <w:ilvl w:val="0"/>
          <w:numId w:val="3"/>
        </w:numPr>
        <w:jc w:val="both"/>
        <w:rPr>
          <w:b/>
          <w:sz w:val="20"/>
        </w:rPr>
      </w:pPr>
      <w:r w:rsidRPr="008F2B3F">
        <w:rPr>
          <w:b/>
          <w:sz w:val="20"/>
        </w:rPr>
        <w:t>automatizált döntéshozatal elleni fellépéshez való jog – kérheti, hogy ne terjedjen ki Önre a döntés hatálya. Kérjük, jelezze, ha ilyet észlel! Ha a jelen tájékoztató nem tartalmaz információkat az automatizált döntéshozatalról, akkor az ez elleni fellépéshez való jog értelemszerűen nem releváns.</w:t>
      </w:r>
    </w:p>
    <w:p w14:paraId="5FDAE19F" w14:textId="77777777" w:rsidR="008F2B3F" w:rsidRPr="008F2B3F" w:rsidRDefault="008F2B3F" w:rsidP="008F2B3F">
      <w:pPr>
        <w:numPr>
          <w:ilvl w:val="0"/>
          <w:numId w:val="3"/>
        </w:numPr>
        <w:jc w:val="both"/>
        <w:rPr>
          <w:b/>
          <w:sz w:val="20"/>
        </w:rPr>
      </w:pPr>
      <w:r w:rsidRPr="008F2B3F">
        <w:rPr>
          <w:b/>
          <w:sz w:val="20"/>
        </w:rPr>
        <w:t>jogorvoslathoz való jog –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9"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553A912F"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E0A518" w14:textId="3F2A6E93" w:rsidR="008B7FDE" w:rsidRDefault="008B7FDE" w:rsidP="008826E3">
      <w:pPr>
        <w:ind w:left="284"/>
        <w:jc w:val="both"/>
        <w:rPr>
          <w:sz w:val="20"/>
        </w:rPr>
      </w:pPr>
    </w:p>
    <w:p w14:paraId="59E0C39C" w14:textId="619E8405" w:rsidR="00D458A3" w:rsidRDefault="00D458A3" w:rsidP="008826E3">
      <w:pPr>
        <w:ind w:left="284"/>
        <w:jc w:val="both"/>
        <w:rPr>
          <w:sz w:val="20"/>
        </w:rPr>
      </w:pPr>
      <w:r>
        <w:rPr>
          <w:sz w:val="20"/>
        </w:rPr>
        <w:br w:type="page"/>
      </w:r>
    </w:p>
    <w:p w14:paraId="193B9035" w14:textId="77777777" w:rsidR="008B7FDE" w:rsidRDefault="008B7FDE" w:rsidP="008826E3">
      <w:pPr>
        <w:ind w:left="284"/>
        <w:jc w:val="both"/>
        <w:rPr>
          <w:sz w:val="20"/>
        </w:rPr>
      </w:pP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8930" w:type="dxa"/>
        <w:tblCellSpacing w:w="0" w:type="dxa"/>
        <w:tblInd w:w="284" w:type="dxa"/>
        <w:tblLayout w:type="fixed"/>
        <w:tblCellMar>
          <w:left w:w="0" w:type="dxa"/>
          <w:right w:w="0" w:type="dxa"/>
        </w:tblCellMar>
        <w:tblLook w:val="04A0" w:firstRow="1" w:lastRow="0" w:firstColumn="1" w:lastColumn="0" w:noHBand="0" w:noVBand="1"/>
      </w:tblPr>
      <w:tblGrid>
        <w:gridCol w:w="370"/>
        <w:gridCol w:w="8418"/>
        <w:gridCol w:w="142"/>
      </w:tblGrid>
      <w:tr w:rsidR="008826E3" w:rsidRPr="00904786" w14:paraId="6C03A9BF" w14:textId="77777777" w:rsidTr="002C6FD8">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560" w:type="dxa"/>
            <w:gridSpan w:val="2"/>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2C6FD8">
        <w:trPr>
          <w:gridAfter w:val="1"/>
          <w:wAfter w:w="142" w:type="dxa"/>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418"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2C6FD8">
        <w:trPr>
          <w:gridAfter w:val="1"/>
          <w:wAfter w:w="142" w:type="dxa"/>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418"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2C6FD8">
        <w:trPr>
          <w:gridAfter w:val="1"/>
          <w:wAfter w:w="142" w:type="dxa"/>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418"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2C6FD8">
        <w:trPr>
          <w:gridAfter w:val="1"/>
          <w:wAfter w:w="142" w:type="dxa"/>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418"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2C6FD8">
        <w:trPr>
          <w:gridAfter w:val="1"/>
          <w:wAfter w:w="142" w:type="dxa"/>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418"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2C6FD8">
        <w:trPr>
          <w:gridAfter w:val="1"/>
          <w:wAfter w:w="142" w:type="dxa"/>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418"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2C6FD8">
        <w:trPr>
          <w:gridAfter w:val="1"/>
          <w:wAfter w:w="142" w:type="dxa"/>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418"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6"/>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79122944" w14:textId="77777777" w:rsidR="00AE07E9" w:rsidRPr="00A00D06" w:rsidRDefault="00AE07E9" w:rsidP="00AE07E9">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7"/>
      </w:r>
      <w:r w:rsidRPr="00A00D06">
        <w:rPr>
          <w:sz w:val="20"/>
          <w:szCs w:val="20"/>
        </w:rPr>
        <w:t xml:space="preserve"> 51/A. (1) bekezdés, 52-54.§, 55.§ (1)-(2), 56-58. §,</w:t>
      </w:r>
      <w:r>
        <w:rPr>
          <w:sz w:val="20"/>
          <w:szCs w:val="20"/>
        </w:rPr>
        <w:t xml:space="preserve"> 60-61. §</w:t>
      </w:r>
      <w:r w:rsidRPr="00A00D06">
        <w:rPr>
          <w:sz w:val="20"/>
          <w:szCs w:val="20"/>
        </w:rPr>
        <w:t>)</w:t>
      </w:r>
    </w:p>
    <w:p w14:paraId="48C605A5"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6FD3732A"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1DF60580"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023DC111" w14:textId="77777777" w:rsidR="00AE07E9" w:rsidRPr="00A00D06" w:rsidRDefault="00AE07E9" w:rsidP="00AE07E9">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40F2" w14:textId="77777777" w:rsidR="004C06E4" w:rsidRDefault="008826E3">
      <w:r>
        <w:separator/>
      </w:r>
    </w:p>
  </w:endnote>
  <w:endnote w:type="continuationSeparator" w:id="0">
    <w:p w14:paraId="4349488A" w14:textId="77777777" w:rsidR="004C06E4" w:rsidRDefault="008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2A38" w14:textId="77777777" w:rsidR="004C06E4" w:rsidRDefault="008826E3">
      <w:r>
        <w:separator/>
      </w:r>
    </w:p>
  </w:footnote>
  <w:footnote w:type="continuationSeparator" w:id="0">
    <w:p w14:paraId="63DA218C" w14:textId="77777777" w:rsidR="004C06E4" w:rsidRDefault="008826E3">
      <w:r>
        <w:continuationSeparator/>
      </w:r>
    </w:p>
  </w:footnote>
  <w:footnote w:id="1">
    <w:p w14:paraId="683281AB" w14:textId="77777777" w:rsidR="00006528" w:rsidRDefault="008826E3" w:rsidP="002C6FD8">
      <w:pPr>
        <w:pStyle w:val="Lbjegyzetszveg"/>
        <w:jc w:val="both"/>
      </w:pPr>
      <w:r>
        <w:rPr>
          <w:rStyle w:val="Lbjegyzet-hivatkozs"/>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2">
    <w:p w14:paraId="74A57082" w14:textId="77777777" w:rsidR="00006528" w:rsidRDefault="008826E3" w:rsidP="002C6FD8">
      <w:pPr>
        <w:pStyle w:val="Lbjegyzetszveg"/>
        <w:jc w:val="both"/>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3">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4">
    <w:p w14:paraId="1F1ECFCE" w14:textId="208D5CC8" w:rsidR="00D458A3" w:rsidRPr="00D458A3" w:rsidRDefault="00D458A3" w:rsidP="00D458A3">
      <w:pPr>
        <w:jc w:val="both"/>
        <w:rPr>
          <w:sz w:val="20"/>
        </w:rPr>
      </w:pPr>
      <w:r w:rsidRPr="00D458A3">
        <w:rPr>
          <w:rStyle w:val="Lbjegyzet-hivatkozs"/>
        </w:rPr>
        <w:footnoteRef/>
      </w:r>
      <w:r w:rsidRPr="00D458A3">
        <w:t xml:space="preserve"> </w:t>
      </w:r>
      <w:r w:rsidRPr="00D458A3">
        <w:rPr>
          <w:sz w:val="20"/>
        </w:rPr>
        <w:t>https://www.elte.hu/dstore/document/683/ELTE_SZMSZ_9mell_irattariterv.pdf</w:t>
      </w:r>
    </w:p>
    <w:p w14:paraId="6A13E4E0" w14:textId="7715EC80" w:rsidR="00D458A3" w:rsidRDefault="00D458A3">
      <w:pPr>
        <w:pStyle w:val="Lbjegyzetszveg"/>
      </w:pPr>
    </w:p>
  </w:footnote>
  <w:footnote w:id="5">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620BB0C4" w14:textId="77777777"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7">
    <w:p w14:paraId="16245A2F" w14:textId="77777777" w:rsidR="00AE07E9" w:rsidRDefault="00AE07E9" w:rsidP="00AE07E9">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5229860">
    <w:abstractNumId w:val="2"/>
  </w:num>
  <w:num w:numId="2" w16cid:durableId="15078394">
    <w:abstractNumId w:val="0"/>
  </w:num>
  <w:num w:numId="3" w16cid:durableId="1464887619">
    <w:abstractNumId w:val="1"/>
  </w:num>
  <w:num w:numId="4" w16cid:durableId="421076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0389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2827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5DD8"/>
    <w:rsid w:val="00006528"/>
    <w:rsid w:val="00006BC7"/>
    <w:rsid w:val="00031E09"/>
    <w:rsid w:val="000564D8"/>
    <w:rsid w:val="00077CF5"/>
    <w:rsid w:val="00082E8D"/>
    <w:rsid w:val="0009287E"/>
    <w:rsid w:val="000B13C3"/>
    <w:rsid w:val="000D5E2C"/>
    <w:rsid w:val="001233E5"/>
    <w:rsid w:val="00131311"/>
    <w:rsid w:val="00134675"/>
    <w:rsid w:val="0014616F"/>
    <w:rsid w:val="00166D6E"/>
    <w:rsid w:val="001935BE"/>
    <w:rsid w:val="001A6D68"/>
    <w:rsid w:val="001B362C"/>
    <w:rsid w:val="001B39F9"/>
    <w:rsid w:val="001D15B3"/>
    <w:rsid w:val="001D3E8A"/>
    <w:rsid w:val="001D495E"/>
    <w:rsid w:val="001E52BE"/>
    <w:rsid w:val="00201726"/>
    <w:rsid w:val="00201803"/>
    <w:rsid w:val="00204954"/>
    <w:rsid w:val="0020704A"/>
    <w:rsid w:val="002155DC"/>
    <w:rsid w:val="00227DAF"/>
    <w:rsid w:val="00241ECB"/>
    <w:rsid w:val="0025145E"/>
    <w:rsid w:val="00261B26"/>
    <w:rsid w:val="002657C3"/>
    <w:rsid w:val="002847D8"/>
    <w:rsid w:val="002906AE"/>
    <w:rsid w:val="002C3713"/>
    <w:rsid w:val="002C6FD8"/>
    <w:rsid w:val="002C7A01"/>
    <w:rsid w:val="00326C44"/>
    <w:rsid w:val="00332423"/>
    <w:rsid w:val="00334922"/>
    <w:rsid w:val="00351F31"/>
    <w:rsid w:val="00377C24"/>
    <w:rsid w:val="0038397D"/>
    <w:rsid w:val="00390AF8"/>
    <w:rsid w:val="003C28E8"/>
    <w:rsid w:val="003D67D4"/>
    <w:rsid w:val="003D73CF"/>
    <w:rsid w:val="00404205"/>
    <w:rsid w:val="00413F9F"/>
    <w:rsid w:val="00417D04"/>
    <w:rsid w:val="00420958"/>
    <w:rsid w:val="00432B8C"/>
    <w:rsid w:val="00452E7F"/>
    <w:rsid w:val="00476E5D"/>
    <w:rsid w:val="00486643"/>
    <w:rsid w:val="00491034"/>
    <w:rsid w:val="004A292F"/>
    <w:rsid w:val="004C06E4"/>
    <w:rsid w:val="004E629F"/>
    <w:rsid w:val="0054598B"/>
    <w:rsid w:val="00557811"/>
    <w:rsid w:val="005622E1"/>
    <w:rsid w:val="00567CE3"/>
    <w:rsid w:val="00573558"/>
    <w:rsid w:val="005741FD"/>
    <w:rsid w:val="005A6DEA"/>
    <w:rsid w:val="005B4457"/>
    <w:rsid w:val="005C602C"/>
    <w:rsid w:val="005F15F2"/>
    <w:rsid w:val="0060185F"/>
    <w:rsid w:val="0060564C"/>
    <w:rsid w:val="00606D68"/>
    <w:rsid w:val="00646482"/>
    <w:rsid w:val="006658D9"/>
    <w:rsid w:val="00666ACA"/>
    <w:rsid w:val="00683EE1"/>
    <w:rsid w:val="0069354F"/>
    <w:rsid w:val="00693E2B"/>
    <w:rsid w:val="006F6A32"/>
    <w:rsid w:val="00701865"/>
    <w:rsid w:val="00771704"/>
    <w:rsid w:val="0077371F"/>
    <w:rsid w:val="007973B3"/>
    <w:rsid w:val="007A0819"/>
    <w:rsid w:val="007B6FD8"/>
    <w:rsid w:val="007B7F3B"/>
    <w:rsid w:val="008022BD"/>
    <w:rsid w:val="00806C1D"/>
    <w:rsid w:val="00823203"/>
    <w:rsid w:val="0085204E"/>
    <w:rsid w:val="00852A70"/>
    <w:rsid w:val="00853F77"/>
    <w:rsid w:val="00855628"/>
    <w:rsid w:val="00855EE4"/>
    <w:rsid w:val="0087402C"/>
    <w:rsid w:val="008826E3"/>
    <w:rsid w:val="0089169A"/>
    <w:rsid w:val="008B1145"/>
    <w:rsid w:val="008B7FDE"/>
    <w:rsid w:val="008F2B3F"/>
    <w:rsid w:val="008F7E6E"/>
    <w:rsid w:val="00911F7C"/>
    <w:rsid w:val="00967EE0"/>
    <w:rsid w:val="00980DBF"/>
    <w:rsid w:val="009B4891"/>
    <w:rsid w:val="00A1652B"/>
    <w:rsid w:val="00A25B74"/>
    <w:rsid w:val="00A2786E"/>
    <w:rsid w:val="00A33707"/>
    <w:rsid w:val="00A804CE"/>
    <w:rsid w:val="00AB21EB"/>
    <w:rsid w:val="00AD2A48"/>
    <w:rsid w:val="00AD5306"/>
    <w:rsid w:val="00AE07E9"/>
    <w:rsid w:val="00AE1C58"/>
    <w:rsid w:val="00AE4099"/>
    <w:rsid w:val="00B001BA"/>
    <w:rsid w:val="00B25B3F"/>
    <w:rsid w:val="00B26CF2"/>
    <w:rsid w:val="00B34F5C"/>
    <w:rsid w:val="00B3503F"/>
    <w:rsid w:val="00B57C3F"/>
    <w:rsid w:val="00B60013"/>
    <w:rsid w:val="00B666B6"/>
    <w:rsid w:val="00B6726D"/>
    <w:rsid w:val="00B73A3A"/>
    <w:rsid w:val="00BA2676"/>
    <w:rsid w:val="00BB099E"/>
    <w:rsid w:val="00BB4A59"/>
    <w:rsid w:val="00BC19A7"/>
    <w:rsid w:val="00BC3C85"/>
    <w:rsid w:val="00C02ACE"/>
    <w:rsid w:val="00C0471F"/>
    <w:rsid w:val="00C415E5"/>
    <w:rsid w:val="00C4202E"/>
    <w:rsid w:val="00C57110"/>
    <w:rsid w:val="00C6160D"/>
    <w:rsid w:val="00C74B8D"/>
    <w:rsid w:val="00CA0B5D"/>
    <w:rsid w:val="00CB5ABA"/>
    <w:rsid w:val="00CD794A"/>
    <w:rsid w:val="00CE697B"/>
    <w:rsid w:val="00CF157D"/>
    <w:rsid w:val="00CF4162"/>
    <w:rsid w:val="00D41FAB"/>
    <w:rsid w:val="00D458A3"/>
    <w:rsid w:val="00D52374"/>
    <w:rsid w:val="00D60D32"/>
    <w:rsid w:val="00D64AD4"/>
    <w:rsid w:val="00D673EF"/>
    <w:rsid w:val="00D8072A"/>
    <w:rsid w:val="00D867A3"/>
    <w:rsid w:val="00D871F3"/>
    <w:rsid w:val="00D90269"/>
    <w:rsid w:val="00D94194"/>
    <w:rsid w:val="00DA3E12"/>
    <w:rsid w:val="00DB3042"/>
    <w:rsid w:val="00DC32B2"/>
    <w:rsid w:val="00DC558C"/>
    <w:rsid w:val="00DF20DA"/>
    <w:rsid w:val="00DF6B0E"/>
    <w:rsid w:val="00E03658"/>
    <w:rsid w:val="00E21CC3"/>
    <w:rsid w:val="00E457AF"/>
    <w:rsid w:val="00E57E54"/>
    <w:rsid w:val="00E650BA"/>
    <w:rsid w:val="00E72B1B"/>
    <w:rsid w:val="00E95AA9"/>
    <w:rsid w:val="00EA1C25"/>
    <w:rsid w:val="00EB26F9"/>
    <w:rsid w:val="00EC1715"/>
    <w:rsid w:val="00EC24A2"/>
    <w:rsid w:val="00EC735B"/>
    <w:rsid w:val="00ED0207"/>
    <w:rsid w:val="00EF1C7F"/>
    <w:rsid w:val="00F01A2D"/>
    <w:rsid w:val="00F04308"/>
    <w:rsid w:val="00F17FDE"/>
    <w:rsid w:val="00F32A21"/>
    <w:rsid w:val="00F374A2"/>
    <w:rsid w:val="00F71730"/>
    <w:rsid w:val="00F73624"/>
    <w:rsid w:val="00F93203"/>
    <w:rsid w:val="00F9656E"/>
    <w:rsid w:val="00FA339F"/>
    <w:rsid w:val="00FA6616"/>
    <w:rsid w:val="00FB0201"/>
    <w:rsid w:val="00FB0978"/>
    <w:rsid w:val="00FB19BC"/>
    <w:rsid w:val="00FC0A54"/>
    <w:rsid w:val="00FC4F1A"/>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next w:val="Norml"/>
    <w:link w:val="Cmsor1Char"/>
    <w:uiPriority w:val="9"/>
    <w:qFormat/>
    <w:rsid w:val="00AD2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paragraph" w:styleId="Cm">
    <w:name w:val="Title"/>
    <w:basedOn w:val="Norml"/>
    <w:next w:val="Norml"/>
    <w:link w:val="CmChar"/>
    <w:uiPriority w:val="10"/>
    <w:qFormat/>
    <w:rsid w:val="00B57C3F"/>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57C3F"/>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AD2A48"/>
    <w:rPr>
      <w:rFonts w:asciiTheme="majorHAnsi" w:eastAsiaTheme="majorEastAsia" w:hAnsiTheme="majorHAnsi" w:cstheme="majorBidi"/>
      <w:color w:val="365F91" w:themeColor="accent1" w:themeShade="BF"/>
      <w:sz w:val="32"/>
      <w:szCs w:val="32"/>
    </w:rPr>
  </w:style>
  <w:style w:type="paragraph" w:styleId="Vltozat">
    <w:name w:val="Revision"/>
    <w:hidden/>
    <w:uiPriority w:val="99"/>
    <w:semiHidden/>
    <w:rsid w:val="008F2B3F"/>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5706">
      <w:bodyDiv w:val="1"/>
      <w:marLeft w:val="0"/>
      <w:marRight w:val="0"/>
      <w:marTop w:val="0"/>
      <w:marBottom w:val="0"/>
      <w:divBdr>
        <w:top w:val="none" w:sz="0" w:space="0" w:color="auto"/>
        <w:left w:val="none" w:sz="0" w:space="0" w:color="auto"/>
        <w:bottom w:val="none" w:sz="0" w:space="0" w:color="auto"/>
        <w:right w:val="none" w:sz="0" w:space="0" w:color="auto"/>
      </w:divBdr>
    </w:div>
    <w:div w:id="112488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aih.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10A6A2-68F5-44C6-906A-46872BC8A9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2274</Words>
  <Characters>15691</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Magyar Beáta</cp:lastModifiedBy>
  <cp:revision>2</cp:revision>
  <dcterms:created xsi:type="dcterms:W3CDTF">2024-01-11T10:27:00Z</dcterms:created>
  <dcterms:modified xsi:type="dcterms:W3CDTF">2024-01-11T10:27:00Z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