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C59" w:rsidRPr="00852F1D" w:rsidRDefault="007F6C59" w:rsidP="00C03F01">
      <w:pPr>
        <w:keepNext/>
        <w:keepLines/>
        <w:spacing w:before="60" w:after="60" w:line="360" w:lineRule="exact"/>
        <w:jc w:val="both"/>
        <w:outlineLvl w:val="1"/>
        <w:rPr>
          <w:rFonts w:ascii="Times New Roman" w:hAnsi="Times New Roman" w:cs="Times New Roman"/>
          <w:b/>
          <w:sz w:val="24"/>
          <w:szCs w:val="24"/>
          <w:u w:val="single"/>
        </w:rPr>
      </w:pPr>
    </w:p>
    <w:p w:rsidR="003F6330" w:rsidRDefault="003F6330" w:rsidP="00C03F01">
      <w:pPr>
        <w:spacing w:before="60" w:after="60" w:line="360" w:lineRule="exact"/>
        <w:jc w:val="center"/>
        <w:rPr>
          <w:rFonts w:ascii="Times New Roman" w:hAnsi="Times New Roman" w:cs="Times New Roman"/>
          <w:b/>
          <w:sz w:val="24"/>
          <w:szCs w:val="24"/>
        </w:rPr>
      </w:pPr>
    </w:p>
    <w:p w:rsidR="007F6C59" w:rsidRPr="00852F1D" w:rsidRDefault="00852F1D" w:rsidP="00C03F01">
      <w:pPr>
        <w:spacing w:before="60" w:after="60" w:line="360" w:lineRule="exact"/>
        <w:jc w:val="center"/>
        <w:rPr>
          <w:rFonts w:ascii="Times New Roman" w:hAnsi="Times New Roman" w:cs="Times New Roman"/>
          <w:b/>
          <w:sz w:val="24"/>
          <w:szCs w:val="24"/>
        </w:rPr>
      </w:pPr>
      <w:r w:rsidRPr="00852F1D">
        <w:rPr>
          <w:rFonts w:ascii="Times New Roman" w:hAnsi="Times New Roman" w:cs="Times New Roman"/>
          <w:b/>
          <w:sz w:val="24"/>
          <w:szCs w:val="24"/>
        </w:rPr>
        <w:t>2020</w:t>
      </w:r>
      <w:r w:rsidR="00C373FE" w:rsidRPr="00852F1D">
        <w:rPr>
          <w:rFonts w:ascii="Times New Roman" w:hAnsi="Times New Roman" w:cs="Times New Roman"/>
          <w:b/>
          <w:sz w:val="24"/>
          <w:szCs w:val="24"/>
        </w:rPr>
        <w:t xml:space="preserve">. évi </w:t>
      </w:r>
      <w:r w:rsidR="00A561CD">
        <w:rPr>
          <w:rFonts w:ascii="Times New Roman" w:hAnsi="Times New Roman" w:cs="Times New Roman"/>
          <w:b/>
          <w:sz w:val="24"/>
          <w:szCs w:val="24"/>
        </w:rPr>
        <w:t>költségvetési beszámoló szöveges indoklása</w:t>
      </w:r>
      <w:r w:rsidR="00527A6C">
        <w:rPr>
          <w:rFonts w:ascii="Times New Roman" w:hAnsi="Times New Roman" w:cs="Times New Roman"/>
          <w:b/>
          <w:sz w:val="24"/>
          <w:szCs w:val="24"/>
        </w:rPr>
        <w:t xml:space="preserve"> (20. számú melléklet)</w:t>
      </w:r>
    </w:p>
    <w:p w:rsidR="003F6330" w:rsidRDefault="003F6330" w:rsidP="00C03F01">
      <w:pPr>
        <w:spacing w:before="60" w:after="60" w:line="360" w:lineRule="exact"/>
        <w:jc w:val="both"/>
        <w:rPr>
          <w:rFonts w:ascii="Times New Roman" w:hAnsi="Times New Roman" w:cs="Times New Roman"/>
          <w:sz w:val="24"/>
          <w:szCs w:val="24"/>
        </w:rPr>
      </w:pPr>
    </w:p>
    <w:p w:rsidR="00E93F21" w:rsidRDefault="00E93F21" w:rsidP="00C03F01">
      <w:pPr>
        <w:spacing w:before="60" w:after="60" w:line="360" w:lineRule="exact"/>
        <w:jc w:val="both"/>
        <w:rPr>
          <w:rFonts w:ascii="Times New Roman" w:hAnsi="Times New Roman" w:cs="Times New Roman"/>
          <w:sz w:val="24"/>
          <w:szCs w:val="24"/>
        </w:rPr>
      </w:pPr>
    </w:p>
    <w:p w:rsidR="00F42AA1" w:rsidRDefault="005A3EC6" w:rsidP="00C03F01">
      <w:pPr>
        <w:spacing w:before="60" w:after="60" w:line="360" w:lineRule="exact"/>
        <w:jc w:val="both"/>
        <w:rPr>
          <w:rFonts w:ascii="Times New Roman" w:hAnsi="Times New Roman" w:cs="Times New Roman"/>
          <w:sz w:val="24"/>
          <w:szCs w:val="24"/>
        </w:rPr>
      </w:pPr>
      <w:r>
        <w:rPr>
          <w:rFonts w:ascii="Times New Roman" w:hAnsi="Times New Roman" w:cs="Times New Roman"/>
          <w:sz w:val="24"/>
          <w:szCs w:val="24"/>
        </w:rPr>
        <w:t>A 2020</w:t>
      </w:r>
      <w:r w:rsidR="00F42AA1" w:rsidRPr="00852F1D">
        <w:rPr>
          <w:rFonts w:ascii="Times New Roman" w:hAnsi="Times New Roman" w:cs="Times New Roman"/>
          <w:sz w:val="24"/>
          <w:szCs w:val="24"/>
        </w:rPr>
        <w:t>. évi költségvetési beszámoló és</w:t>
      </w:r>
      <w:r w:rsidR="00E1387F">
        <w:rPr>
          <w:rFonts w:ascii="Times New Roman" w:hAnsi="Times New Roman" w:cs="Times New Roman"/>
          <w:sz w:val="24"/>
          <w:szCs w:val="24"/>
        </w:rPr>
        <w:t xml:space="preserve"> az irányító szerv által megküldött </w:t>
      </w:r>
      <w:r w:rsidR="00F4486C">
        <w:rPr>
          <w:rFonts w:ascii="Times New Roman" w:hAnsi="Times New Roman" w:cs="Times New Roman"/>
          <w:sz w:val="24"/>
          <w:szCs w:val="24"/>
        </w:rPr>
        <w:t xml:space="preserve">mellékletek </w:t>
      </w:r>
      <w:r w:rsidR="00A561CD">
        <w:rPr>
          <w:rFonts w:ascii="Times New Roman" w:hAnsi="Times New Roman" w:cs="Times New Roman"/>
          <w:sz w:val="24"/>
          <w:szCs w:val="24"/>
        </w:rPr>
        <w:t>a megadott határidőre</w:t>
      </w:r>
      <w:r w:rsidR="001331C5" w:rsidRPr="00852F1D">
        <w:rPr>
          <w:rFonts w:ascii="Times New Roman" w:hAnsi="Times New Roman" w:cs="Times New Roman"/>
          <w:sz w:val="24"/>
          <w:szCs w:val="24"/>
        </w:rPr>
        <w:t xml:space="preserve"> </w:t>
      </w:r>
      <w:r w:rsidR="00F42AA1" w:rsidRPr="00852F1D">
        <w:rPr>
          <w:rFonts w:ascii="Times New Roman" w:hAnsi="Times New Roman" w:cs="Times New Roman"/>
          <w:sz w:val="24"/>
          <w:szCs w:val="24"/>
        </w:rPr>
        <w:t>elkészült</w:t>
      </w:r>
      <w:r w:rsidR="00A561CD">
        <w:rPr>
          <w:rFonts w:ascii="Times New Roman" w:hAnsi="Times New Roman" w:cs="Times New Roman"/>
          <w:sz w:val="24"/>
          <w:szCs w:val="24"/>
        </w:rPr>
        <w:t>ek</w:t>
      </w:r>
      <w:r w:rsidR="00F42AA1" w:rsidRPr="00852F1D">
        <w:rPr>
          <w:rFonts w:ascii="Times New Roman" w:hAnsi="Times New Roman" w:cs="Times New Roman"/>
          <w:sz w:val="24"/>
          <w:szCs w:val="24"/>
        </w:rPr>
        <w:t xml:space="preserve">, a KGR rendszerbe a </w:t>
      </w:r>
      <w:r w:rsidR="00A561CD">
        <w:rPr>
          <w:rFonts w:ascii="Times New Roman" w:hAnsi="Times New Roman" w:cs="Times New Roman"/>
          <w:sz w:val="24"/>
          <w:szCs w:val="24"/>
        </w:rPr>
        <w:t>kötelező nyomtatványgarnitúrák felt</w:t>
      </w:r>
      <w:r>
        <w:rPr>
          <w:rFonts w:ascii="Times New Roman" w:hAnsi="Times New Roman" w:cs="Times New Roman"/>
          <w:sz w:val="24"/>
          <w:szCs w:val="24"/>
        </w:rPr>
        <w:t xml:space="preserve">öltése megtörtént. </w:t>
      </w:r>
      <w:r w:rsidR="00A561CD">
        <w:rPr>
          <w:rFonts w:ascii="Times New Roman" w:hAnsi="Times New Roman" w:cs="Times New Roman"/>
          <w:sz w:val="24"/>
          <w:szCs w:val="24"/>
        </w:rPr>
        <w:t>A</w:t>
      </w:r>
      <w:r w:rsidR="00F42AA1" w:rsidRPr="00852F1D">
        <w:rPr>
          <w:rFonts w:ascii="Times New Roman" w:hAnsi="Times New Roman" w:cs="Times New Roman"/>
          <w:sz w:val="24"/>
          <w:szCs w:val="24"/>
        </w:rPr>
        <w:t xml:space="preserve"> </w:t>
      </w:r>
      <w:r w:rsidR="00A561CD">
        <w:rPr>
          <w:rFonts w:ascii="Times New Roman" w:hAnsi="Times New Roman" w:cs="Times New Roman"/>
          <w:sz w:val="24"/>
          <w:szCs w:val="24"/>
        </w:rPr>
        <w:t xml:space="preserve">2020. évi </w:t>
      </w:r>
      <w:r w:rsidR="00F42AA1" w:rsidRPr="00852F1D">
        <w:rPr>
          <w:rFonts w:ascii="Times New Roman" w:hAnsi="Times New Roman" w:cs="Times New Roman"/>
          <w:sz w:val="24"/>
          <w:szCs w:val="24"/>
        </w:rPr>
        <w:t>száms</w:t>
      </w:r>
      <w:r>
        <w:rPr>
          <w:rFonts w:ascii="Times New Roman" w:hAnsi="Times New Roman" w:cs="Times New Roman"/>
          <w:sz w:val="24"/>
          <w:szCs w:val="24"/>
        </w:rPr>
        <w:t xml:space="preserve">zaki beszámolóhoz kapcsolódóan </w:t>
      </w:r>
      <w:r w:rsidR="00F42AA1" w:rsidRPr="00852F1D">
        <w:rPr>
          <w:rFonts w:ascii="Times New Roman" w:hAnsi="Times New Roman" w:cs="Times New Roman"/>
          <w:sz w:val="24"/>
          <w:szCs w:val="24"/>
        </w:rPr>
        <w:t xml:space="preserve">a </w:t>
      </w:r>
      <w:r w:rsidR="00DD4501">
        <w:rPr>
          <w:rFonts w:ascii="Times New Roman" w:hAnsi="Times New Roman" w:cs="Times New Roman"/>
          <w:sz w:val="24"/>
          <w:szCs w:val="24"/>
        </w:rPr>
        <w:t>2</w:t>
      </w:r>
      <w:r w:rsidR="00A561CD">
        <w:rPr>
          <w:rFonts w:ascii="Times New Roman" w:hAnsi="Times New Roman" w:cs="Times New Roman"/>
          <w:sz w:val="24"/>
          <w:szCs w:val="24"/>
        </w:rPr>
        <w:t>0. számú mellékletben mutatjuk be az Eötvös Lóránd Tudományegyetem (továbbiakban: ELTE) 2020. évi szakmai tevékeny</w:t>
      </w:r>
      <w:r w:rsidR="00DD4501">
        <w:rPr>
          <w:rFonts w:ascii="Times New Roman" w:hAnsi="Times New Roman" w:cs="Times New Roman"/>
          <w:sz w:val="24"/>
          <w:szCs w:val="24"/>
        </w:rPr>
        <w:t>ségét (I. rész), illetve a gazdálkodására vonatkozó főbb mutatókat, adatokat és információkat</w:t>
      </w:r>
      <w:r w:rsidR="00A561CD">
        <w:rPr>
          <w:rFonts w:ascii="Times New Roman" w:hAnsi="Times New Roman" w:cs="Times New Roman"/>
          <w:sz w:val="24"/>
          <w:szCs w:val="24"/>
        </w:rPr>
        <w:t xml:space="preserve"> (II. rész), a fenntartói által rögzített tartalmi elvárásokra is figyelemmel. </w:t>
      </w:r>
    </w:p>
    <w:p w:rsidR="008053D1" w:rsidRPr="00852F1D" w:rsidRDefault="008053D1" w:rsidP="00C03F01">
      <w:pPr>
        <w:spacing w:before="60" w:after="60" w:line="360" w:lineRule="exact"/>
        <w:jc w:val="both"/>
        <w:rPr>
          <w:rFonts w:ascii="Times New Roman" w:hAnsi="Times New Roman" w:cs="Times New Roman"/>
          <w:sz w:val="24"/>
          <w:szCs w:val="24"/>
        </w:rPr>
      </w:pPr>
    </w:p>
    <w:p w:rsidR="00F42AA1" w:rsidRPr="00852F1D" w:rsidRDefault="00F42AA1" w:rsidP="00C03F01">
      <w:pPr>
        <w:spacing w:before="60" w:after="60" w:line="360" w:lineRule="exact"/>
        <w:rPr>
          <w:rFonts w:ascii="Times New Roman" w:hAnsi="Times New Roman" w:cs="Times New Roman"/>
          <w:b/>
          <w:sz w:val="24"/>
          <w:szCs w:val="24"/>
        </w:rPr>
      </w:pPr>
      <w:r w:rsidRPr="005A3EC6">
        <w:rPr>
          <w:rFonts w:ascii="Times New Roman" w:hAnsi="Times New Roman" w:cs="Times New Roman"/>
          <w:b/>
          <w:sz w:val="24"/>
          <w:szCs w:val="24"/>
        </w:rPr>
        <w:t>Bevezetés</w:t>
      </w:r>
      <w:r w:rsidR="00852F1D" w:rsidRPr="005A3EC6">
        <w:rPr>
          <w:rFonts w:ascii="Times New Roman" w:hAnsi="Times New Roman" w:cs="Times New Roman"/>
          <w:b/>
          <w:sz w:val="24"/>
          <w:szCs w:val="24"/>
        </w:rPr>
        <w:t xml:space="preserve"> </w:t>
      </w:r>
    </w:p>
    <w:p w:rsidR="007F6C59" w:rsidRPr="00852F1D" w:rsidRDefault="007F6C59" w:rsidP="00C03F01">
      <w:pPr>
        <w:spacing w:before="60" w:after="60" w:line="360" w:lineRule="exact"/>
        <w:jc w:val="both"/>
        <w:rPr>
          <w:rFonts w:ascii="Times New Roman" w:hAnsi="Times New Roman" w:cs="Times New Roman"/>
          <w:sz w:val="24"/>
          <w:szCs w:val="24"/>
        </w:rPr>
      </w:pPr>
      <w:r w:rsidRPr="00852F1D">
        <w:rPr>
          <w:rFonts w:ascii="Times New Roman" w:hAnsi="Times New Roman" w:cs="Times New Roman"/>
          <w:sz w:val="24"/>
          <w:szCs w:val="24"/>
        </w:rPr>
        <w:t xml:space="preserve">Az </w:t>
      </w:r>
      <w:r w:rsidR="008053D1">
        <w:rPr>
          <w:rFonts w:ascii="Times New Roman" w:hAnsi="Times New Roman" w:cs="Times New Roman"/>
          <w:sz w:val="24"/>
          <w:szCs w:val="24"/>
        </w:rPr>
        <w:t>ELTE kiemelt alaptevékenységei - egyebek mellett -</w:t>
      </w:r>
      <w:r w:rsidRPr="00852F1D">
        <w:rPr>
          <w:rFonts w:ascii="Times New Roman" w:hAnsi="Times New Roman" w:cs="Times New Roman"/>
          <w:sz w:val="24"/>
          <w:szCs w:val="24"/>
        </w:rPr>
        <w:t xml:space="preserve"> tizenegy képzési területen történő alapképzés, mesterképzés, osztatlan képzés, továbbá szakirányú továbbképzés és felsőoktatási szakképzés folytatása. Az egyes köznevelési (az ELTE köznevelési intézmények alapítója és fenntartója) és felnőttképzési feladatok ellátása mellett kiemelkedően fontos az ELTE doktori képzése, és az általa kiadott doktori fokozat. </w:t>
      </w:r>
    </w:p>
    <w:p w:rsidR="007F6C59" w:rsidRPr="00852F1D" w:rsidRDefault="007F6C59" w:rsidP="00C03F01">
      <w:pPr>
        <w:spacing w:before="60" w:after="60" w:line="360" w:lineRule="exact"/>
        <w:jc w:val="both"/>
        <w:rPr>
          <w:rFonts w:ascii="Times New Roman" w:hAnsi="Times New Roman" w:cs="Times New Roman"/>
          <w:sz w:val="24"/>
          <w:szCs w:val="24"/>
        </w:rPr>
      </w:pPr>
      <w:r w:rsidRPr="00852F1D">
        <w:rPr>
          <w:rFonts w:ascii="Times New Roman" w:hAnsi="Times New Roman" w:cs="Times New Roman"/>
          <w:sz w:val="24"/>
          <w:szCs w:val="24"/>
        </w:rPr>
        <w:t xml:space="preserve">Az oktatás és képzés mellett nagy hangsúlyt kapnak Egyetemünkön a képzésekhez kapcsolódó képzési területeken, tudományterületeken végzett alap-, alkalmazott és kísérleti kutatások és fejlesztések, a tudományszervezés, a technológiai innováció, valamint az oktatást támogató egyéb kutatások. </w:t>
      </w:r>
    </w:p>
    <w:p w:rsidR="00F42AA1" w:rsidRDefault="007F6C59" w:rsidP="00C03F01">
      <w:pPr>
        <w:spacing w:before="60" w:after="60" w:line="360" w:lineRule="exact"/>
        <w:jc w:val="both"/>
        <w:rPr>
          <w:rFonts w:ascii="Times New Roman" w:hAnsi="Times New Roman" w:cs="Times New Roman"/>
          <w:sz w:val="24"/>
          <w:szCs w:val="24"/>
        </w:rPr>
      </w:pPr>
      <w:r w:rsidRPr="00852F1D">
        <w:rPr>
          <w:rFonts w:ascii="Times New Roman" w:hAnsi="Times New Roman" w:cs="Times New Roman"/>
          <w:sz w:val="24"/>
          <w:szCs w:val="24"/>
        </w:rPr>
        <w:t xml:space="preserve">Az ELTE alaptevékenységéhez tartozik továbbá a könyvtári és tudományos információszolgáltatás, kollégiumi elhelyezés, valamint kulturális és sportolási lehetőség nyújtása. Egyetemünk a nemzeti és az egyetemes kultúra és a művészetek közvetítésével, művelésével és fejlesztésével, valamint az anyanyelvi és az idegen nyelvi ismeretek fejlesztésével hozzájárul a hallgatóknak az értelmiségi létre történő felkészítéséhez. Mindezen feladatok színvonalas ellátása érdekében fejlesztjük és ápoljuk a szükséges nemzetközi kapcsolatainkat. </w:t>
      </w:r>
    </w:p>
    <w:p w:rsidR="0095364B" w:rsidRPr="00852F1D" w:rsidRDefault="00C03F01" w:rsidP="00E93F21">
      <w:pPr>
        <w:rPr>
          <w:rFonts w:ascii="Times New Roman" w:hAnsi="Times New Roman" w:cs="Times New Roman"/>
          <w:sz w:val="24"/>
          <w:szCs w:val="24"/>
        </w:rPr>
      </w:pPr>
      <w:r>
        <w:rPr>
          <w:rFonts w:ascii="Times New Roman" w:hAnsi="Times New Roman" w:cs="Times New Roman"/>
          <w:sz w:val="24"/>
          <w:szCs w:val="24"/>
        </w:rPr>
        <w:br w:type="page"/>
      </w:r>
    </w:p>
    <w:p w:rsidR="00F42AA1" w:rsidRDefault="00F42AA1" w:rsidP="00C03F01">
      <w:pPr>
        <w:pStyle w:val="Listaszerbekezds"/>
        <w:numPr>
          <w:ilvl w:val="0"/>
          <w:numId w:val="16"/>
        </w:numPr>
        <w:spacing w:before="60" w:after="60" w:line="360" w:lineRule="exact"/>
        <w:ind w:left="284" w:hanging="284"/>
        <w:rPr>
          <w:b/>
          <w:szCs w:val="24"/>
        </w:rPr>
      </w:pPr>
      <w:r w:rsidRPr="00852F1D">
        <w:rPr>
          <w:b/>
          <w:szCs w:val="24"/>
        </w:rPr>
        <w:lastRenderedPageBreak/>
        <w:t xml:space="preserve">Szakmai tevékenység </w:t>
      </w:r>
    </w:p>
    <w:p w:rsidR="00E1387F" w:rsidRPr="0095364B" w:rsidRDefault="00E1387F" w:rsidP="00E1387F">
      <w:pPr>
        <w:pStyle w:val="Listaszerbekezds"/>
        <w:spacing w:before="60" w:after="60" w:line="360" w:lineRule="exact"/>
        <w:ind w:left="284"/>
        <w:rPr>
          <w:b/>
          <w:szCs w:val="24"/>
        </w:rPr>
      </w:pPr>
    </w:p>
    <w:p w:rsidR="00695953" w:rsidRPr="007F6C59" w:rsidRDefault="00695953" w:rsidP="00695953">
      <w:pPr>
        <w:jc w:val="both"/>
        <w:rPr>
          <w:rFonts w:ascii="Times New Roman" w:hAnsi="Times New Roman" w:cs="Times New Roman"/>
          <w:b/>
          <w:sz w:val="24"/>
          <w:szCs w:val="24"/>
        </w:rPr>
      </w:pPr>
      <w:r>
        <w:rPr>
          <w:rFonts w:ascii="Times New Roman" w:hAnsi="Times New Roman" w:cs="Times New Roman"/>
          <w:b/>
          <w:sz w:val="24"/>
          <w:szCs w:val="24"/>
        </w:rPr>
        <w:t xml:space="preserve">I.1. </w:t>
      </w:r>
      <w:r w:rsidRPr="007F6C59">
        <w:rPr>
          <w:rFonts w:ascii="Times New Roman" w:hAnsi="Times New Roman" w:cs="Times New Roman"/>
          <w:b/>
          <w:sz w:val="24"/>
          <w:szCs w:val="24"/>
        </w:rPr>
        <w:t>Oktatási tevékenységet jellemző adatok</w:t>
      </w:r>
    </w:p>
    <w:p w:rsidR="00695953" w:rsidRPr="007F6C59" w:rsidRDefault="00695953" w:rsidP="00695953">
      <w:pPr>
        <w:jc w:val="both"/>
        <w:rPr>
          <w:rFonts w:ascii="Times New Roman" w:hAnsi="Times New Roman" w:cs="Times New Roman"/>
          <w:sz w:val="24"/>
          <w:szCs w:val="24"/>
        </w:rPr>
      </w:pPr>
      <w:r>
        <w:rPr>
          <w:rFonts w:ascii="Times New Roman" w:hAnsi="Times New Roman" w:cs="Times New Roman"/>
          <w:sz w:val="24"/>
          <w:szCs w:val="24"/>
        </w:rPr>
        <w:t xml:space="preserve">Az ELTE 2020 őszi </w:t>
      </w:r>
      <w:r w:rsidRPr="007F6C59">
        <w:rPr>
          <w:rFonts w:ascii="Times New Roman" w:hAnsi="Times New Roman" w:cs="Times New Roman"/>
          <w:sz w:val="24"/>
          <w:szCs w:val="24"/>
        </w:rPr>
        <w:t>hallgatói létszáma 3</w:t>
      </w:r>
      <w:r>
        <w:rPr>
          <w:rFonts w:ascii="Times New Roman" w:hAnsi="Times New Roman" w:cs="Times New Roman"/>
          <w:sz w:val="24"/>
          <w:szCs w:val="24"/>
        </w:rPr>
        <w:t>3 247</w:t>
      </w:r>
      <w:r w:rsidRPr="007F6C59">
        <w:rPr>
          <w:rFonts w:ascii="Times New Roman" w:hAnsi="Times New Roman" w:cs="Times New Roman"/>
          <w:sz w:val="24"/>
          <w:szCs w:val="24"/>
        </w:rPr>
        <w:t xml:space="preserve"> fő, amely 14</w:t>
      </w:r>
      <w:r>
        <w:rPr>
          <w:rFonts w:ascii="Times New Roman" w:hAnsi="Times New Roman" w:cs="Times New Roman"/>
          <w:sz w:val="24"/>
          <w:szCs w:val="24"/>
        </w:rPr>
        <w:t>72</w:t>
      </w:r>
      <w:r w:rsidRPr="007F6C59">
        <w:rPr>
          <w:rFonts w:ascii="Times New Roman" w:hAnsi="Times New Roman" w:cs="Times New Roman"/>
          <w:sz w:val="24"/>
          <w:szCs w:val="24"/>
        </w:rPr>
        <w:t xml:space="preserve"> fővel haladja meg a 201</w:t>
      </w:r>
      <w:r>
        <w:rPr>
          <w:rFonts w:ascii="Times New Roman" w:hAnsi="Times New Roman" w:cs="Times New Roman"/>
          <w:sz w:val="24"/>
          <w:szCs w:val="24"/>
        </w:rPr>
        <w:t>9</w:t>
      </w:r>
      <w:r w:rsidRPr="007F6C59">
        <w:rPr>
          <w:rFonts w:ascii="Times New Roman" w:hAnsi="Times New Roman" w:cs="Times New Roman"/>
          <w:sz w:val="24"/>
          <w:szCs w:val="24"/>
        </w:rPr>
        <w:t>. évi létszámot. Képzési szintenként a</w:t>
      </w:r>
      <w:r>
        <w:rPr>
          <w:rFonts w:ascii="Times New Roman" w:hAnsi="Times New Roman" w:cs="Times New Roman"/>
          <w:sz w:val="24"/>
          <w:szCs w:val="24"/>
        </w:rPr>
        <w:t>z adatok</w:t>
      </w:r>
      <w:r w:rsidRPr="007F6C59">
        <w:rPr>
          <w:rFonts w:ascii="Times New Roman" w:hAnsi="Times New Roman" w:cs="Times New Roman"/>
          <w:sz w:val="24"/>
          <w:szCs w:val="24"/>
        </w:rPr>
        <w:t xml:space="preserve"> összetétele a következők szerint alakult: </w:t>
      </w:r>
      <w:r>
        <w:rPr>
          <w:rFonts w:ascii="Times New Roman" w:hAnsi="Times New Roman" w:cs="Times New Roman"/>
          <w:sz w:val="24"/>
          <w:szCs w:val="24"/>
        </w:rPr>
        <w:t>alapképzésben 17400</w:t>
      </w:r>
      <w:r w:rsidRPr="007F6C59">
        <w:rPr>
          <w:rFonts w:ascii="Times New Roman" w:hAnsi="Times New Roman" w:cs="Times New Roman"/>
          <w:sz w:val="24"/>
          <w:szCs w:val="24"/>
        </w:rPr>
        <w:t xml:space="preserve">, mesterképzésben </w:t>
      </w:r>
      <w:r>
        <w:rPr>
          <w:rFonts w:ascii="Times New Roman" w:hAnsi="Times New Roman" w:cs="Times New Roman"/>
          <w:sz w:val="24"/>
          <w:szCs w:val="24"/>
        </w:rPr>
        <w:t>5641</w:t>
      </w:r>
      <w:r w:rsidRPr="007F6C59">
        <w:rPr>
          <w:rFonts w:ascii="Times New Roman" w:hAnsi="Times New Roman" w:cs="Times New Roman"/>
          <w:sz w:val="24"/>
          <w:szCs w:val="24"/>
        </w:rPr>
        <w:t xml:space="preserve">, osztatlan képzésben </w:t>
      </w:r>
      <w:r>
        <w:rPr>
          <w:rFonts w:ascii="Times New Roman" w:hAnsi="Times New Roman" w:cs="Times New Roman"/>
          <w:sz w:val="24"/>
          <w:szCs w:val="24"/>
        </w:rPr>
        <w:t>5272</w:t>
      </w:r>
      <w:r w:rsidRPr="007F6C59">
        <w:rPr>
          <w:rFonts w:ascii="Times New Roman" w:hAnsi="Times New Roman" w:cs="Times New Roman"/>
          <w:sz w:val="24"/>
          <w:szCs w:val="24"/>
        </w:rPr>
        <w:t xml:space="preserve">, </w:t>
      </w:r>
      <w:r>
        <w:rPr>
          <w:rFonts w:ascii="Times New Roman" w:hAnsi="Times New Roman" w:cs="Times New Roman"/>
          <w:sz w:val="24"/>
          <w:szCs w:val="24"/>
        </w:rPr>
        <w:t>doktori</w:t>
      </w:r>
      <w:r w:rsidRPr="007F6C59">
        <w:rPr>
          <w:rFonts w:ascii="Times New Roman" w:hAnsi="Times New Roman" w:cs="Times New Roman"/>
          <w:sz w:val="24"/>
          <w:szCs w:val="24"/>
        </w:rPr>
        <w:t xml:space="preserve"> képzésben </w:t>
      </w:r>
      <w:r>
        <w:rPr>
          <w:rFonts w:ascii="Times New Roman" w:hAnsi="Times New Roman" w:cs="Times New Roman"/>
          <w:sz w:val="24"/>
          <w:szCs w:val="24"/>
        </w:rPr>
        <w:t>1878</w:t>
      </w:r>
      <w:r w:rsidRPr="007F6C59">
        <w:rPr>
          <w:rFonts w:ascii="Times New Roman" w:hAnsi="Times New Roman" w:cs="Times New Roman"/>
          <w:sz w:val="24"/>
          <w:szCs w:val="24"/>
        </w:rPr>
        <w:t xml:space="preserve">, felsőoktatási szakképzésben </w:t>
      </w:r>
      <w:r>
        <w:rPr>
          <w:rFonts w:ascii="Times New Roman" w:hAnsi="Times New Roman" w:cs="Times New Roman"/>
          <w:sz w:val="24"/>
          <w:szCs w:val="24"/>
        </w:rPr>
        <w:t>254</w:t>
      </w:r>
      <w:r w:rsidRPr="007F6C59">
        <w:rPr>
          <w:rFonts w:ascii="Times New Roman" w:hAnsi="Times New Roman" w:cs="Times New Roman"/>
          <w:sz w:val="24"/>
          <w:szCs w:val="24"/>
        </w:rPr>
        <w:t xml:space="preserve">, a szakirányú továbbképzésben </w:t>
      </w:r>
      <w:r>
        <w:rPr>
          <w:rFonts w:ascii="Times New Roman" w:hAnsi="Times New Roman" w:cs="Times New Roman"/>
          <w:sz w:val="24"/>
          <w:szCs w:val="24"/>
        </w:rPr>
        <w:t>1984</w:t>
      </w:r>
      <w:r w:rsidRPr="007F6C59">
        <w:rPr>
          <w:rFonts w:ascii="Times New Roman" w:hAnsi="Times New Roman" w:cs="Times New Roman"/>
          <w:sz w:val="24"/>
          <w:szCs w:val="24"/>
        </w:rPr>
        <w:t xml:space="preserve"> fő</w:t>
      </w:r>
      <w:r>
        <w:rPr>
          <w:rFonts w:ascii="Times New Roman" w:hAnsi="Times New Roman" w:cs="Times New Roman"/>
          <w:sz w:val="24"/>
          <w:szCs w:val="24"/>
        </w:rPr>
        <w:t xml:space="preserve"> vesz részt</w:t>
      </w:r>
      <w:r w:rsidRPr="007F6C59">
        <w:rPr>
          <w:rFonts w:ascii="Times New Roman" w:hAnsi="Times New Roman" w:cs="Times New Roman"/>
          <w:sz w:val="24"/>
          <w:szCs w:val="24"/>
        </w:rPr>
        <w:t xml:space="preserve">. </w:t>
      </w:r>
      <w:r>
        <w:rPr>
          <w:rFonts w:ascii="Times New Roman" w:hAnsi="Times New Roman" w:cs="Times New Roman"/>
          <w:sz w:val="24"/>
          <w:szCs w:val="24"/>
        </w:rPr>
        <w:t>Egyéb, a képzési szintekhez nem sorolható képzésben (részképzés, előkészítő jogviszony stb.) további 818 hallgatónk volt.</w:t>
      </w:r>
    </w:p>
    <w:p w:rsidR="00695953" w:rsidRPr="007F6C59" w:rsidRDefault="00695953" w:rsidP="00695953">
      <w:pPr>
        <w:jc w:val="both"/>
        <w:rPr>
          <w:rFonts w:ascii="Times New Roman" w:hAnsi="Times New Roman" w:cs="Times New Roman"/>
          <w:sz w:val="24"/>
          <w:szCs w:val="24"/>
        </w:rPr>
      </w:pPr>
      <w:r w:rsidRPr="007F6C59">
        <w:rPr>
          <w:rFonts w:ascii="Times New Roman" w:hAnsi="Times New Roman" w:cs="Times New Roman"/>
          <w:sz w:val="24"/>
          <w:szCs w:val="24"/>
        </w:rPr>
        <w:t xml:space="preserve">A létszámból nappali képzésben vesz részt a hallgatók </w:t>
      </w:r>
      <w:r>
        <w:rPr>
          <w:rFonts w:ascii="Times New Roman" w:hAnsi="Times New Roman" w:cs="Times New Roman"/>
          <w:sz w:val="24"/>
          <w:szCs w:val="24"/>
        </w:rPr>
        <w:t>79,11</w:t>
      </w:r>
      <w:r w:rsidRPr="007F6C59">
        <w:rPr>
          <w:rFonts w:ascii="Times New Roman" w:hAnsi="Times New Roman" w:cs="Times New Roman"/>
          <w:sz w:val="24"/>
          <w:szCs w:val="24"/>
        </w:rPr>
        <w:t>%-a (</w:t>
      </w:r>
      <w:r>
        <w:rPr>
          <w:rFonts w:ascii="Times New Roman" w:hAnsi="Times New Roman" w:cs="Times New Roman"/>
          <w:sz w:val="24"/>
          <w:szCs w:val="24"/>
        </w:rPr>
        <w:t>26 302 fő</w:t>
      </w:r>
      <w:r w:rsidRPr="007F6C59">
        <w:rPr>
          <w:rFonts w:ascii="Times New Roman" w:hAnsi="Times New Roman" w:cs="Times New Roman"/>
          <w:sz w:val="24"/>
          <w:szCs w:val="24"/>
        </w:rPr>
        <w:t xml:space="preserve">), levelező képzésben a hallgatók </w:t>
      </w:r>
      <w:r>
        <w:rPr>
          <w:rFonts w:ascii="Times New Roman" w:hAnsi="Times New Roman" w:cs="Times New Roman"/>
          <w:sz w:val="24"/>
          <w:szCs w:val="24"/>
        </w:rPr>
        <w:t>16,36</w:t>
      </w:r>
      <w:r w:rsidRPr="007F6C59">
        <w:rPr>
          <w:rFonts w:ascii="Times New Roman" w:hAnsi="Times New Roman" w:cs="Times New Roman"/>
          <w:sz w:val="24"/>
          <w:szCs w:val="24"/>
        </w:rPr>
        <w:t>%-a (</w:t>
      </w:r>
      <w:r>
        <w:rPr>
          <w:rFonts w:ascii="Times New Roman" w:hAnsi="Times New Roman" w:cs="Times New Roman"/>
          <w:sz w:val="24"/>
          <w:szCs w:val="24"/>
        </w:rPr>
        <w:t xml:space="preserve">5439 </w:t>
      </w:r>
      <w:r w:rsidRPr="007F6C59">
        <w:rPr>
          <w:rFonts w:ascii="Times New Roman" w:hAnsi="Times New Roman" w:cs="Times New Roman"/>
          <w:sz w:val="24"/>
          <w:szCs w:val="24"/>
        </w:rPr>
        <w:t xml:space="preserve">fő), esti képzésben a hallgatók </w:t>
      </w:r>
      <w:r>
        <w:rPr>
          <w:rFonts w:ascii="Times New Roman" w:hAnsi="Times New Roman" w:cs="Times New Roman"/>
          <w:sz w:val="24"/>
          <w:szCs w:val="24"/>
        </w:rPr>
        <w:t>4,37</w:t>
      </w:r>
      <w:r w:rsidRPr="007F6C59">
        <w:rPr>
          <w:rFonts w:ascii="Times New Roman" w:hAnsi="Times New Roman" w:cs="Times New Roman"/>
          <w:sz w:val="24"/>
          <w:szCs w:val="24"/>
        </w:rPr>
        <w:t>%</w:t>
      </w:r>
      <w:r>
        <w:rPr>
          <w:rFonts w:ascii="Times New Roman" w:hAnsi="Times New Roman" w:cs="Times New Roman"/>
          <w:sz w:val="24"/>
          <w:szCs w:val="24"/>
        </w:rPr>
        <w:t>-</w:t>
      </w:r>
      <w:r w:rsidRPr="007F6C59">
        <w:rPr>
          <w:rFonts w:ascii="Times New Roman" w:hAnsi="Times New Roman" w:cs="Times New Roman"/>
          <w:sz w:val="24"/>
          <w:szCs w:val="24"/>
        </w:rPr>
        <w:t>a (</w:t>
      </w:r>
      <w:r>
        <w:rPr>
          <w:rFonts w:ascii="Times New Roman" w:hAnsi="Times New Roman" w:cs="Times New Roman"/>
          <w:sz w:val="24"/>
          <w:szCs w:val="24"/>
        </w:rPr>
        <w:t>1454</w:t>
      </w:r>
      <w:r w:rsidRPr="007F6C59">
        <w:rPr>
          <w:rFonts w:ascii="Times New Roman" w:hAnsi="Times New Roman" w:cs="Times New Roman"/>
          <w:sz w:val="24"/>
          <w:szCs w:val="24"/>
        </w:rPr>
        <w:t xml:space="preserve"> fő) távoktatásban </w:t>
      </w:r>
      <w:r>
        <w:rPr>
          <w:rFonts w:ascii="Times New Roman" w:hAnsi="Times New Roman" w:cs="Times New Roman"/>
          <w:sz w:val="24"/>
          <w:szCs w:val="24"/>
        </w:rPr>
        <w:t>0,16%-a (52</w:t>
      </w:r>
      <w:r w:rsidRPr="007F6C59">
        <w:rPr>
          <w:rFonts w:ascii="Times New Roman" w:hAnsi="Times New Roman" w:cs="Times New Roman"/>
          <w:sz w:val="24"/>
          <w:szCs w:val="24"/>
        </w:rPr>
        <w:t xml:space="preserve"> fő</w:t>
      </w:r>
      <w:r>
        <w:rPr>
          <w:rFonts w:ascii="Times New Roman" w:hAnsi="Times New Roman" w:cs="Times New Roman"/>
          <w:sz w:val="24"/>
          <w:szCs w:val="24"/>
        </w:rPr>
        <w:t>)</w:t>
      </w:r>
      <w:r w:rsidRPr="007F6C59">
        <w:rPr>
          <w:rFonts w:ascii="Times New Roman" w:hAnsi="Times New Roman" w:cs="Times New Roman"/>
          <w:sz w:val="24"/>
          <w:szCs w:val="24"/>
        </w:rPr>
        <w:t xml:space="preserve">. </w:t>
      </w:r>
    </w:p>
    <w:p w:rsidR="00695953" w:rsidRPr="007F6C59" w:rsidRDefault="00695953" w:rsidP="00695953">
      <w:pPr>
        <w:jc w:val="both"/>
        <w:rPr>
          <w:rFonts w:ascii="Times New Roman" w:hAnsi="Times New Roman" w:cs="Times New Roman"/>
          <w:sz w:val="24"/>
          <w:szCs w:val="24"/>
        </w:rPr>
      </w:pPr>
      <w:r w:rsidRPr="007F6C59">
        <w:rPr>
          <w:rFonts w:ascii="Times New Roman" w:hAnsi="Times New Roman" w:cs="Times New Roman"/>
          <w:sz w:val="24"/>
          <w:szCs w:val="24"/>
        </w:rPr>
        <w:t>20</w:t>
      </w:r>
      <w:r>
        <w:rPr>
          <w:rFonts w:ascii="Times New Roman" w:hAnsi="Times New Roman" w:cs="Times New Roman"/>
          <w:sz w:val="24"/>
          <w:szCs w:val="24"/>
        </w:rPr>
        <w:t>20</w:t>
      </w:r>
      <w:r w:rsidRPr="007F6C59">
        <w:rPr>
          <w:rFonts w:ascii="Times New Roman" w:hAnsi="Times New Roman" w:cs="Times New Roman"/>
          <w:sz w:val="24"/>
          <w:szCs w:val="24"/>
        </w:rPr>
        <w:t>-b</w:t>
      </w:r>
      <w:r>
        <w:rPr>
          <w:rFonts w:ascii="Times New Roman" w:hAnsi="Times New Roman" w:cs="Times New Roman"/>
          <w:sz w:val="24"/>
          <w:szCs w:val="24"/>
        </w:rPr>
        <w:t>a</w:t>
      </w:r>
      <w:r w:rsidRPr="007F6C59">
        <w:rPr>
          <w:rFonts w:ascii="Times New Roman" w:hAnsi="Times New Roman" w:cs="Times New Roman"/>
          <w:sz w:val="24"/>
          <w:szCs w:val="24"/>
        </w:rPr>
        <w:t xml:space="preserve">n Egyetemünkön korábbi, már kifutó hagyományos képzésben résztvevők közül </w:t>
      </w:r>
      <w:r>
        <w:rPr>
          <w:rFonts w:ascii="Times New Roman" w:hAnsi="Times New Roman" w:cs="Times New Roman"/>
          <w:sz w:val="24"/>
          <w:szCs w:val="24"/>
        </w:rPr>
        <w:t>1633</w:t>
      </w:r>
      <w:r w:rsidRPr="007F6C59">
        <w:rPr>
          <w:rFonts w:ascii="Times New Roman" w:hAnsi="Times New Roman" w:cs="Times New Roman"/>
          <w:sz w:val="24"/>
          <w:szCs w:val="24"/>
        </w:rPr>
        <w:t xml:space="preserve"> főiskolai</w:t>
      </w:r>
      <w:r>
        <w:rPr>
          <w:rFonts w:ascii="Times New Roman" w:hAnsi="Times New Roman" w:cs="Times New Roman"/>
          <w:sz w:val="24"/>
          <w:szCs w:val="24"/>
        </w:rPr>
        <w:t>, valamint 939</w:t>
      </w:r>
      <w:r w:rsidRPr="007F6C59">
        <w:rPr>
          <w:rFonts w:ascii="Times New Roman" w:hAnsi="Times New Roman" w:cs="Times New Roman"/>
          <w:sz w:val="24"/>
          <w:szCs w:val="24"/>
        </w:rPr>
        <w:t xml:space="preserve"> egyetemi </w:t>
      </w:r>
      <w:r>
        <w:rPr>
          <w:rFonts w:ascii="Times New Roman" w:hAnsi="Times New Roman" w:cs="Times New Roman"/>
          <w:sz w:val="24"/>
          <w:szCs w:val="24"/>
        </w:rPr>
        <w:t xml:space="preserve">(ide értve az egyetemi szintű kiegészítő képzéseket is) </w:t>
      </w:r>
      <w:r w:rsidRPr="007F6C59">
        <w:rPr>
          <w:rFonts w:ascii="Times New Roman" w:hAnsi="Times New Roman" w:cs="Times New Roman"/>
          <w:sz w:val="24"/>
          <w:szCs w:val="24"/>
        </w:rPr>
        <w:t xml:space="preserve">oklevél </w:t>
      </w:r>
      <w:r>
        <w:rPr>
          <w:rFonts w:ascii="Times New Roman" w:hAnsi="Times New Roman" w:cs="Times New Roman"/>
          <w:sz w:val="24"/>
          <w:szCs w:val="24"/>
        </w:rPr>
        <w:t>kiadására</w:t>
      </w:r>
      <w:r w:rsidRPr="007F6C59">
        <w:rPr>
          <w:rFonts w:ascii="Times New Roman" w:hAnsi="Times New Roman" w:cs="Times New Roman"/>
          <w:sz w:val="24"/>
          <w:szCs w:val="24"/>
        </w:rPr>
        <w:t xml:space="preserve"> került sor</w:t>
      </w:r>
      <w:r>
        <w:rPr>
          <w:rFonts w:ascii="Times New Roman" w:hAnsi="Times New Roman" w:cs="Times New Roman"/>
          <w:sz w:val="24"/>
          <w:szCs w:val="24"/>
        </w:rPr>
        <w:t xml:space="preserve">. </w:t>
      </w:r>
    </w:p>
    <w:p w:rsidR="00695953" w:rsidRDefault="00695953" w:rsidP="00695953">
      <w:pPr>
        <w:spacing w:before="120" w:after="120"/>
        <w:jc w:val="both"/>
        <w:rPr>
          <w:rFonts w:ascii="Times New Roman" w:hAnsi="Times New Roman" w:cs="Times New Roman"/>
          <w:sz w:val="24"/>
          <w:szCs w:val="24"/>
        </w:rPr>
      </w:pPr>
      <w:r w:rsidRPr="007F6C59">
        <w:rPr>
          <w:rFonts w:ascii="Times New Roman" w:hAnsi="Times New Roman" w:cs="Times New Roman"/>
          <w:sz w:val="24"/>
          <w:szCs w:val="24"/>
        </w:rPr>
        <w:t>Szakirányú továbbképzésben</w:t>
      </w:r>
      <w:r>
        <w:rPr>
          <w:rFonts w:ascii="Times New Roman" w:hAnsi="Times New Roman" w:cs="Times New Roman"/>
          <w:sz w:val="24"/>
          <w:szCs w:val="24"/>
        </w:rPr>
        <w:t xml:space="preserve"> kereken</w:t>
      </w:r>
      <w:r w:rsidRPr="007F6C59">
        <w:rPr>
          <w:rFonts w:ascii="Times New Roman" w:hAnsi="Times New Roman" w:cs="Times New Roman"/>
          <w:sz w:val="24"/>
          <w:szCs w:val="24"/>
        </w:rPr>
        <w:t xml:space="preserve"> 10</w:t>
      </w:r>
      <w:r>
        <w:rPr>
          <w:rFonts w:ascii="Times New Roman" w:hAnsi="Times New Roman" w:cs="Times New Roman"/>
          <w:sz w:val="24"/>
          <w:szCs w:val="24"/>
        </w:rPr>
        <w:t>00</w:t>
      </w:r>
      <w:r w:rsidRPr="007F6C59">
        <w:rPr>
          <w:rFonts w:ascii="Times New Roman" w:hAnsi="Times New Roman" w:cs="Times New Roman"/>
          <w:sz w:val="24"/>
          <w:szCs w:val="24"/>
        </w:rPr>
        <w:t xml:space="preserve"> oklev</w:t>
      </w:r>
      <w:r>
        <w:rPr>
          <w:rFonts w:ascii="Times New Roman" w:hAnsi="Times New Roman" w:cs="Times New Roman"/>
          <w:sz w:val="24"/>
          <w:szCs w:val="24"/>
        </w:rPr>
        <w:t>él került kibocsátásra</w:t>
      </w:r>
      <w:r w:rsidRPr="007F6C59">
        <w:rPr>
          <w:rFonts w:ascii="Times New Roman" w:hAnsi="Times New Roman" w:cs="Times New Roman"/>
          <w:sz w:val="24"/>
          <w:szCs w:val="24"/>
        </w:rPr>
        <w:t xml:space="preserve">, míg doktori fokozatszerzési eljárását </w:t>
      </w:r>
      <w:r>
        <w:rPr>
          <w:rFonts w:ascii="Times New Roman" w:hAnsi="Times New Roman" w:cs="Times New Roman"/>
          <w:sz w:val="24"/>
          <w:szCs w:val="24"/>
        </w:rPr>
        <w:t>229</w:t>
      </w:r>
      <w:r w:rsidRPr="007F6C59">
        <w:rPr>
          <w:rFonts w:ascii="Times New Roman" w:hAnsi="Times New Roman" w:cs="Times New Roman"/>
          <w:sz w:val="24"/>
          <w:szCs w:val="24"/>
        </w:rPr>
        <w:t xml:space="preserve"> </w:t>
      </w:r>
      <w:r>
        <w:rPr>
          <w:rFonts w:ascii="Times New Roman" w:hAnsi="Times New Roman" w:cs="Times New Roman"/>
          <w:sz w:val="24"/>
          <w:szCs w:val="24"/>
        </w:rPr>
        <w:t>db</w:t>
      </w:r>
      <w:r w:rsidRPr="007F6C59">
        <w:rPr>
          <w:rFonts w:ascii="Times New Roman" w:hAnsi="Times New Roman" w:cs="Times New Roman"/>
          <w:sz w:val="24"/>
          <w:szCs w:val="24"/>
        </w:rPr>
        <w:t xml:space="preserve"> </w:t>
      </w:r>
      <w:r>
        <w:rPr>
          <w:rFonts w:ascii="Times New Roman" w:hAnsi="Times New Roman" w:cs="Times New Roman"/>
          <w:sz w:val="24"/>
          <w:szCs w:val="24"/>
        </w:rPr>
        <w:t>(ebből új típusú képzésben 13)</w:t>
      </w:r>
      <w:r w:rsidRPr="007F6C59">
        <w:rPr>
          <w:rFonts w:ascii="Times New Roman" w:hAnsi="Times New Roman" w:cs="Times New Roman"/>
          <w:sz w:val="24"/>
          <w:szCs w:val="24"/>
        </w:rPr>
        <w:t xml:space="preserve">. Alapképzésben </w:t>
      </w:r>
      <w:r>
        <w:rPr>
          <w:rFonts w:ascii="Times New Roman" w:hAnsi="Times New Roman" w:cs="Times New Roman"/>
          <w:sz w:val="24"/>
          <w:szCs w:val="24"/>
        </w:rPr>
        <w:t>6519</w:t>
      </w:r>
      <w:r w:rsidRPr="007F6C59">
        <w:rPr>
          <w:rFonts w:ascii="Times New Roman" w:hAnsi="Times New Roman" w:cs="Times New Roman"/>
          <w:sz w:val="24"/>
          <w:szCs w:val="24"/>
        </w:rPr>
        <w:t xml:space="preserve">, mesterképzésben </w:t>
      </w:r>
      <w:r>
        <w:rPr>
          <w:rFonts w:ascii="Times New Roman" w:hAnsi="Times New Roman" w:cs="Times New Roman"/>
          <w:sz w:val="24"/>
          <w:szCs w:val="24"/>
        </w:rPr>
        <w:t xml:space="preserve">2837, </w:t>
      </w:r>
      <w:r w:rsidRPr="007F6C59">
        <w:rPr>
          <w:rFonts w:ascii="Times New Roman" w:hAnsi="Times New Roman" w:cs="Times New Roman"/>
          <w:sz w:val="24"/>
          <w:szCs w:val="24"/>
        </w:rPr>
        <w:t xml:space="preserve">osztatlan képzésben további </w:t>
      </w:r>
      <w:r>
        <w:rPr>
          <w:rFonts w:ascii="Times New Roman" w:hAnsi="Times New Roman" w:cs="Times New Roman"/>
          <w:sz w:val="24"/>
          <w:szCs w:val="24"/>
        </w:rPr>
        <w:t>629</w:t>
      </w:r>
      <w:r w:rsidRPr="007F6C59">
        <w:rPr>
          <w:rFonts w:ascii="Times New Roman" w:hAnsi="Times New Roman" w:cs="Times New Roman"/>
          <w:sz w:val="24"/>
          <w:szCs w:val="24"/>
        </w:rPr>
        <w:t xml:space="preserve"> oklevél kiadására került sor. </w:t>
      </w:r>
      <w:r>
        <w:rPr>
          <w:rFonts w:ascii="Times New Roman" w:hAnsi="Times New Roman" w:cs="Times New Roman"/>
          <w:sz w:val="24"/>
          <w:szCs w:val="24"/>
        </w:rPr>
        <w:t xml:space="preserve">Felsőoktatási szakképzésben az oklevelek száma 73 volt. </w:t>
      </w:r>
    </w:p>
    <w:p w:rsidR="00695953" w:rsidRPr="008A1870" w:rsidRDefault="00695953" w:rsidP="00695953">
      <w:pPr>
        <w:spacing w:before="120" w:after="120"/>
        <w:jc w:val="both"/>
        <w:rPr>
          <w:rFonts w:ascii="Times New Roman" w:hAnsi="Times New Roman" w:cs="Times New Roman"/>
          <w:sz w:val="24"/>
          <w:szCs w:val="24"/>
        </w:rPr>
      </w:pPr>
      <w:r w:rsidRPr="008A1870">
        <w:rPr>
          <w:rFonts w:ascii="Times New Roman" w:hAnsi="Times New Roman" w:cs="Times New Roman"/>
          <w:sz w:val="24"/>
          <w:szCs w:val="24"/>
        </w:rPr>
        <w:t>A szombathelyi campuson megvalósuló képzéseken 2723 fő kapott diplomát, a budapesti helyszínű képzéseken 11083, míg Nyíregyházán 16 fő.</w:t>
      </w:r>
    </w:p>
    <w:p w:rsidR="00695953" w:rsidRDefault="00695953" w:rsidP="00695953">
      <w:pPr>
        <w:spacing w:before="120" w:after="120"/>
        <w:jc w:val="both"/>
        <w:rPr>
          <w:rFonts w:ascii="Times New Roman" w:hAnsi="Times New Roman" w:cs="Times New Roman"/>
          <w:sz w:val="24"/>
          <w:szCs w:val="24"/>
        </w:rPr>
      </w:pPr>
      <w:r>
        <w:rPr>
          <w:rFonts w:ascii="Times New Roman" w:hAnsi="Times New Roman" w:cs="Times New Roman"/>
          <w:sz w:val="24"/>
          <w:szCs w:val="24"/>
        </w:rPr>
        <w:t>A kiadott oklevelek kiugróan magas számát – a 101/2020. (IV. 10.) Korm. rendelet 6. §-a alapján – a kimeneti követelményként előírt nyelvvizsga nélkül történő oklevélkibocsátások indokolják.</w:t>
      </w:r>
    </w:p>
    <w:p w:rsidR="00695953" w:rsidRDefault="00695953" w:rsidP="00695953">
      <w:pPr>
        <w:spacing w:before="120" w:after="120"/>
        <w:jc w:val="both"/>
        <w:rPr>
          <w:rFonts w:ascii="Times New Roman" w:hAnsi="Times New Roman" w:cs="Times New Roman"/>
          <w:sz w:val="24"/>
          <w:szCs w:val="24"/>
        </w:rPr>
      </w:pPr>
      <w:r w:rsidRPr="007F6C59">
        <w:rPr>
          <w:rFonts w:ascii="Times New Roman" w:hAnsi="Times New Roman" w:cs="Times New Roman"/>
          <w:b/>
          <w:sz w:val="24"/>
          <w:szCs w:val="24"/>
        </w:rPr>
        <w:t>Az idegennyelvű képzésekben résztvevők</w:t>
      </w:r>
      <w:r w:rsidRPr="007F6C59">
        <w:rPr>
          <w:rFonts w:ascii="Times New Roman" w:hAnsi="Times New Roman" w:cs="Times New Roman"/>
          <w:sz w:val="24"/>
          <w:szCs w:val="24"/>
        </w:rPr>
        <w:t xml:space="preserve"> száma évről évre emelkedik. </w:t>
      </w:r>
      <w:r>
        <w:rPr>
          <w:rFonts w:ascii="Times New Roman" w:hAnsi="Times New Roman" w:cs="Times New Roman"/>
          <w:sz w:val="24"/>
          <w:szCs w:val="24"/>
        </w:rPr>
        <w:t>2020</w:t>
      </w:r>
      <w:r w:rsidRPr="007F6C59">
        <w:rPr>
          <w:rFonts w:ascii="Times New Roman" w:hAnsi="Times New Roman" w:cs="Times New Roman"/>
          <w:sz w:val="24"/>
          <w:szCs w:val="24"/>
        </w:rPr>
        <w:t>-b</w:t>
      </w:r>
      <w:r>
        <w:rPr>
          <w:rFonts w:ascii="Times New Roman" w:hAnsi="Times New Roman" w:cs="Times New Roman"/>
          <w:sz w:val="24"/>
          <w:szCs w:val="24"/>
        </w:rPr>
        <w:t>a</w:t>
      </w:r>
      <w:r w:rsidRPr="007F6C59">
        <w:rPr>
          <w:rFonts w:ascii="Times New Roman" w:hAnsi="Times New Roman" w:cs="Times New Roman"/>
          <w:sz w:val="24"/>
          <w:szCs w:val="24"/>
        </w:rPr>
        <w:t xml:space="preserve">n alapképzési szakokon </w:t>
      </w:r>
      <w:r>
        <w:rPr>
          <w:rFonts w:ascii="Times New Roman" w:hAnsi="Times New Roman" w:cs="Times New Roman"/>
          <w:sz w:val="24"/>
          <w:szCs w:val="24"/>
        </w:rPr>
        <w:t xml:space="preserve">1092 </w:t>
      </w:r>
      <w:r w:rsidRPr="007F6C59">
        <w:rPr>
          <w:rFonts w:ascii="Times New Roman" w:hAnsi="Times New Roman" w:cs="Times New Roman"/>
          <w:sz w:val="24"/>
          <w:szCs w:val="24"/>
        </w:rPr>
        <w:t xml:space="preserve">fő, mesterképzésben </w:t>
      </w:r>
      <w:r>
        <w:rPr>
          <w:rFonts w:ascii="Times New Roman" w:hAnsi="Times New Roman" w:cs="Times New Roman"/>
          <w:sz w:val="24"/>
          <w:szCs w:val="24"/>
        </w:rPr>
        <w:t>997</w:t>
      </w:r>
      <w:r w:rsidRPr="007F6C59">
        <w:rPr>
          <w:rFonts w:ascii="Times New Roman" w:hAnsi="Times New Roman" w:cs="Times New Roman"/>
          <w:sz w:val="24"/>
          <w:szCs w:val="24"/>
        </w:rPr>
        <w:t xml:space="preserve"> fő, szakirányú továbbképzésben </w:t>
      </w:r>
      <w:r>
        <w:rPr>
          <w:rFonts w:ascii="Times New Roman" w:hAnsi="Times New Roman" w:cs="Times New Roman"/>
          <w:sz w:val="24"/>
          <w:szCs w:val="24"/>
        </w:rPr>
        <w:t>10 fő, doktori képzésben 383</w:t>
      </w:r>
      <w:r w:rsidRPr="007F6C59">
        <w:rPr>
          <w:rFonts w:ascii="Times New Roman" w:hAnsi="Times New Roman" w:cs="Times New Roman"/>
          <w:sz w:val="24"/>
          <w:szCs w:val="24"/>
        </w:rPr>
        <w:t xml:space="preserve"> fő vett részt</w:t>
      </w:r>
      <w:r>
        <w:rPr>
          <w:rFonts w:ascii="Times New Roman" w:hAnsi="Times New Roman" w:cs="Times New Roman"/>
          <w:sz w:val="24"/>
          <w:szCs w:val="24"/>
        </w:rPr>
        <w:t>, amely 599 fővel haladja meg a tavalyi adatokat</w:t>
      </w:r>
      <w:r w:rsidRPr="007F6C59">
        <w:rPr>
          <w:rFonts w:ascii="Times New Roman" w:hAnsi="Times New Roman" w:cs="Times New Roman"/>
          <w:sz w:val="24"/>
          <w:szCs w:val="24"/>
        </w:rPr>
        <w:t>. Ezek a létszámok tartalmazzák a Stipendium Hungaricum program keretében beérkezett hallgató létszámát is. A programot – jelentősége miatt- az alábbiakban külön bemutatjuk.</w:t>
      </w:r>
    </w:p>
    <w:p w:rsidR="00695953" w:rsidRDefault="00C03F01" w:rsidP="00695953">
      <w:pPr>
        <w:spacing w:before="120" w:after="120"/>
        <w:jc w:val="both"/>
        <w:rPr>
          <w:rFonts w:ascii="Times New Roman" w:hAnsi="Times New Roman" w:cs="Times New Roman"/>
          <w:b/>
          <w:sz w:val="24"/>
          <w:szCs w:val="24"/>
        </w:rPr>
      </w:pPr>
      <w:r>
        <w:rPr>
          <w:rFonts w:ascii="Times New Roman" w:hAnsi="Times New Roman" w:cs="Times New Roman"/>
          <w:b/>
          <w:sz w:val="24"/>
          <w:szCs w:val="24"/>
        </w:rPr>
        <w:t>Stipendium Hungaricum program</w:t>
      </w:r>
    </w:p>
    <w:p w:rsidR="00805717" w:rsidRPr="00C03F01" w:rsidRDefault="00805717" w:rsidP="00695953">
      <w:pPr>
        <w:spacing w:before="120" w:after="120"/>
        <w:jc w:val="both"/>
        <w:rPr>
          <w:rFonts w:ascii="Times New Roman" w:hAnsi="Times New Roman" w:cs="Times New Roman"/>
          <w:b/>
          <w:sz w:val="24"/>
          <w:szCs w:val="24"/>
        </w:rPr>
      </w:pPr>
      <w:r w:rsidRPr="00805717">
        <w:rPr>
          <w:rFonts w:ascii="Times New Roman" w:hAnsi="Times New Roman" w:cs="Times New Roman"/>
          <w:sz w:val="24"/>
          <w:szCs w:val="24"/>
        </w:rPr>
        <w:t>A Stipendium Hungaricum ösztöndíjprogram keretében külföldi hallgatók folytathatnak tanulmányokat alap-, mester- és doktori szintű teljes képzés, illetve egyéves magyar nyelvi előkészítő keretében magyar felsőoktatási intézményekben. (Egyes országokból egy- vagy kétféléves részképzésre is pályázhatnak hallgatók.)</w:t>
      </w:r>
    </w:p>
    <w:p w:rsidR="00805717" w:rsidRP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lastRenderedPageBreak/>
        <w:t>Az ELTE-n a Stipendium Hungaricum-hallgatók létszáma</w:t>
      </w:r>
      <w:r w:rsidR="0095364B">
        <w:rPr>
          <w:rFonts w:ascii="Times New Roman" w:hAnsi="Times New Roman" w:cs="Times New Roman"/>
          <w:sz w:val="24"/>
          <w:szCs w:val="24"/>
        </w:rPr>
        <w:t xml:space="preserve"> 2020-ban összesen 1661 fő volt,</w:t>
      </w:r>
    </w:p>
    <w:p w:rsidR="00805717" w:rsidRPr="00805717" w:rsidRDefault="00805717" w:rsidP="00C03F0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          alapképzésben 536 fő</w:t>
      </w:r>
      <w:r w:rsidR="00C03F01">
        <w:rPr>
          <w:rFonts w:ascii="Times New Roman" w:hAnsi="Times New Roman" w:cs="Times New Roman"/>
          <w:sz w:val="24"/>
          <w:szCs w:val="24"/>
        </w:rPr>
        <w:t>,</w:t>
      </w:r>
    </w:p>
    <w:p w:rsidR="00805717" w:rsidRPr="00805717" w:rsidRDefault="00805717" w:rsidP="00C03F0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          mesterképzésben 756 fő</w:t>
      </w:r>
      <w:r w:rsidR="0095364B">
        <w:rPr>
          <w:rFonts w:ascii="Times New Roman" w:hAnsi="Times New Roman" w:cs="Times New Roman"/>
          <w:sz w:val="24"/>
          <w:szCs w:val="24"/>
        </w:rPr>
        <w:t>,</w:t>
      </w:r>
    </w:p>
    <w:p w:rsidR="00805717" w:rsidRPr="00805717" w:rsidRDefault="00805717" w:rsidP="00C03F0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          doktori képzésben 360 fő vett részt</w:t>
      </w:r>
      <w:r w:rsidR="0095364B">
        <w:rPr>
          <w:rFonts w:ascii="Times New Roman" w:hAnsi="Times New Roman" w:cs="Times New Roman"/>
          <w:sz w:val="24"/>
          <w:szCs w:val="24"/>
        </w:rPr>
        <w:t>.</w:t>
      </w:r>
    </w:p>
    <w:p w:rsidR="00805717" w:rsidRP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Közülük 45 fő folytatott az Egyetem részképzéses tanulmányokat. További 31 fő vett részt magyar nyelvi előkészítő képzésben, valamint az őszi félévben 27 abszolutóriumot nyert doktori hallgató nyerte el a 2020-ban bevezetett disszertációs ösztöndíjas támogatást.</w:t>
      </w:r>
    </w:p>
    <w:p w:rsidR="00805717" w:rsidRP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legtöbb hallgatót az Informatikai Kar (498 fő), Bölcsészettudományi Kar (399 fő) és a a Természettudomány Kar (339 fő) fogadja. Az Egyetem a program 63 partnerországából illetve régiójából fogadott 2020-ban hallgatókat.</w:t>
      </w:r>
    </w:p>
    <w:p w:rsidR="003F6330" w:rsidRPr="008563E8" w:rsidRDefault="00805717" w:rsidP="008563E8">
      <w:pPr>
        <w:keepNext/>
        <w:keepLines/>
        <w:spacing w:before="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Előfordul, hogy egy hallgató több képzésben is részt vesz, ha tanulmányait oklevélszerzés után magasabb szinten is az ELTE-n folytatja; ők mindkét képzési szinten megjelennek a lebontásnál, de ők a hallgató létszámba csak egy alkalommal kerültek beszámításra.</w:t>
      </w:r>
    </w:p>
    <w:p w:rsidR="00C03F01" w:rsidRDefault="00F2590C" w:rsidP="00C03F01">
      <w:pPr>
        <w:spacing w:before="60" w:after="60" w:line="360" w:lineRule="exact"/>
        <w:jc w:val="both"/>
        <w:rPr>
          <w:rFonts w:ascii="Times New Roman" w:hAnsi="Times New Roman" w:cs="Times New Roman"/>
          <w:b/>
          <w:sz w:val="24"/>
          <w:szCs w:val="24"/>
          <w:lang w:eastAsia="hu-HU"/>
        </w:rPr>
      </w:pPr>
      <w:r w:rsidRPr="0095364B">
        <w:rPr>
          <w:rFonts w:ascii="Times New Roman" w:hAnsi="Times New Roman" w:cs="Times New Roman"/>
          <w:b/>
          <w:sz w:val="24"/>
          <w:szCs w:val="24"/>
          <w:lang w:eastAsia="hu-HU"/>
        </w:rPr>
        <w:t xml:space="preserve">I.2. </w:t>
      </w:r>
      <w:r w:rsidR="007F6C59" w:rsidRPr="0095364B">
        <w:rPr>
          <w:rFonts w:ascii="Times New Roman" w:hAnsi="Times New Roman" w:cs="Times New Roman"/>
          <w:b/>
          <w:sz w:val="24"/>
          <w:szCs w:val="24"/>
          <w:lang w:eastAsia="hu-HU"/>
        </w:rPr>
        <w:t>Nemzetköziesítéssel kapcsolatos tevékenységek</w:t>
      </w:r>
      <w:r w:rsidR="00852F1D" w:rsidRPr="0095364B">
        <w:rPr>
          <w:rFonts w:ascii="Times New Roman" w:hAnsi="Times New Roman" w:cs="Times New Roman"/>
          <w:b/>
          <w:sz w:val="24"/>
          <w:szCs w:val="24"/>
          <w:lang w:eastAsia="hu-HU"/>
        </w:rPr>
        <w:t xml:space="preserve"> </w:t>
      </w:r>
    </w:p>
    <w:p w:rsidR="00910CF5" w:rsidRPr="007F6C59" w:rsidRDefault="00910CF5" w:rsidP="00C03F01">
      <w:pPr>
        <w:spacing w:before="60" w:after="60" w:line="360" w:lineRule="exact"/>
        <w:jc w:val="both"/>
        <w:rPr>
          <w:rFonts w:ascii="Times New Roman" w:hAnsi="Times New Roman" w:cs="Times New Roman"/>
          <w:b/>
          <w:sz w:val="24"/>
          <w:szCs w:val="24"/>
        </w:rPr>
      </w:pPr>
      <w:r>
        <w:rPr>
          <w:rFonts w:ascii="Times New Roman" w:hAnsi="Times New Roman" w:cs="Times New Roman"/>
          <w:b/>
          <w:sz w:val="24"/>
          <w:szCs w:val="24"/>
        </w:rPr>
        <w:t xml:space="preserve">I.2.1. </w:t>
      </w:r>
      <w:r w:rsidRPr="007F6C59">
        <w:rPr>
          <w:rFonts w:ascii="Times New Roman" w:hAnsi="Times New Roman" w:cs="Times New Roman"/>
          <w:b/>
          <w:sz w:val="24"/>
          <w:szCs w:val="24"/>
        </w:rPr>
        <w:t>CHARM-EU együttműködés</w:t>
      </w:r>
    </w:p>
    <w:p w:rsidR="00910CF5" w:rsidRDefault="00910CF5" w:rsidP="00C03F01">
      <w:pPr>
        <w:spacing w:before="60" w:after="60" w:line="360" w:lineRule="exact"/>
        <w:jc w:val="both"/>
        <w:rPr>
          <w:rFonts w:ascii="Times New Roman" w:hAnsi="Times New Roman" w:cs="Times New Roman"/>
          <w:sz w:val="24"/>
          <w:szCs w:val="24"/>
        </w:rPr>
      </w:pPr>
      <w:r w:rsidRPr="00EF5B63">
        <w:rPr>
          <w:rFonts w:ascii="Times New Roman" w:hAnsi="Times New Roman" w:cs="Times New Roman"/>
          <w:sz w:val="24"/>
          <w:szCs w:val="24"/>
        </w:rPr>
        <w:t xml:space="preserve">A CHARM European University Szövetség, melynek az ELTE is tagja (vezetője a Barcelonai Egyetem, további tagjai a Montpellier-i Egyetem, a Trinity College Dublinnal és az Utrechti Egyetem) 2019-ben nyert támogatást a European Universities Initiative első (pilot) pályázati fordulójában. A Szövetség 2019 végén rendkívüli intenzitással kezdte meg </w:t>
      </w:r>
      <w:r>
        <w:rPr>
          <w:rFonts w:ascii="Times New Roman" w:hAnsi="Times New Roman" w:cs="Times New Roman"/>
          <w:sz w:val="24"/>
          <w:szCs w:val="24"/>
        </w:rPr>
        <w:t>m</w:t>
      </w:r>
      <w:r w:rsidRPr="00EF5B63">
        <w:rPr>
          <w:rFonts w:ascii="Times New Roman" w:hAnsi="Times New Roman" w:cs="Times New Roman"/>
          <w:sz w:val="24"/>
          <w:szCs w:val="24"/>
        </w:rPr>
        <w:t xml:space="preserve">unkáját. </w:t>
      </w:r>
    </w:p>
    <w:p w:rsidR="00910CF5" w:rsidRDefault="00910CF5" w:rsidP="00C03F01">
      <w:pPr>
        <w:spacing w:before="60" w:after="60" w:line="360" w:lineRule="exact"/>
        <w:jc w:val="both"/>
        <w:rPr>
          <w:rFonts w:ascii="Times New Roman" w:hAnsi="Times New Roman" w:cs="Times New Roman"/>
          <w:sz w:val="24"/>
          <w:szCs w:val="24"/>
        </w:rPr>
      </w:pPr>
      <w:r w:rsidRPr="00EF5B63">
        <w:rPr>
          <w:rFonts w:ascii="Times New Roman" w:hAnsi="Times New Roman" w:cs="Times New Roman"/>
          <w:sz w:val="24"/>
          <w:szCs w:val="24"/>
        </w:rPr>
        <w:t xml:space="preserve">Az ELTE komoly szerepet vállalt az </w:t>
      </w:r>
      <w:r>
        <w:rPr>
          <w:rFonts w:ascii="Times New Roman" w:hAnsi="Times New Roman" w:cs="Times New Roman"/>
          <w:sz w:val="24"/>
          <w:szCs w:val="24"/>
        </w:rPr>
        <w:t>Innovációs és Technológiai Minisztérium</w:t>
      </w:r>
      <w:r w:rsidRPr="00EF5B63">
        <w:rPr>
          <w:rFonts w:ascii="Times New Roman" w:hAnsi="Times New Roman" w:cs="Times New Roman"/>
          <w:sz w:val="24"/>
          <w:szCs w:val="24"/>
        </w:rPr>
        <w:t xml:space="preserve">, az Oktatási </w:t>
      </w:r>
      <w:r>
        <w:rPr>
          <w:rFonts w:ascii="Times New Roman" w:hAnsi="Times New Roman" w:cs="Times New Roman"/>
          <w:sz w:val="24"/>
          <w:szCs w:val="24"/>
        </w:rPr>
        <w:t>Hivatal</w:t>
      </w:r>
      <w:r w:rsidRPr="00EF5B63">
        <w:rPr>
          <w:rFonts w:ascii="Times New Roman" w:hAnsi="Times New Roman" w:cs="Times New Roman"/>
          <w:sz w:val="24"/>
          <w:szCs w:val="24"/>
        </w:rPr>
        <w:t>, a Magyar Felsőoktatási Akkreditációs Bizottság, a Tempus Közalapítván</w:t>
      </w:r>
      <w:r>
        <w:rPr>
          <w:rFonts w:ascii="Times New Roman" w:hAnsi="Times New Roman" w:cs="Times New Roman"/>
          <w:sz w:val="24"/>
          <w:szCs w:val="24"/>
        </w:rPr>
        <w:t>y</w:t>
      </w:r>
      <w:r w:rsidRPr="00EF5B63">
        <w:rPr>
          <w:rFonts w:ascii="Times New Roman" w:hAnsi="Times New Roman" w:cs="Times New Roman"/>
          <w:sz w:val="24"/>
          <w:szCs w:val="24"/>
        </w:rPr>
        <w:t>, a Magyar Rektori Konferenci</w:t>
      </w:r>
      <w:r>
        <w:rPr>
          <w:rFonts w:ascii="Times New Roman" w:hAnsi="Times New Roman" w:cs="Times New Roman"/>
          <w:sz w:val="24"/>
          <w:szCs w:val="24"/>
        </w:rPr>
        <w:t>a</w:t>
      </w:r>
      <w:r w:rsidRPr="00EF5B63">
        <w:rPr>
          <w:rFonts w:ascii="Times New Roman" w:hAnsi="Times New Roman" w:cs="Times New Roman"/>
          <w:sz w:val="24"/>
          <w:szCs w:val="24"/>
        </w:rPr>
        <w:t xml:space="preserve"> és a többi nyertes hazai felsőoktatási intézmén</w:t>
      </w:r>
      <w:r>
        <w:rPr>
          <w:rFonts w:ascii="Times New Roman" w:hAnsi="Times New Roman" w:cs="Times New Roman"/>
          <w:sz w:val="24"/>
          <w:szCs w:val="24"/>
        </w:rPr>
        <w:t>y közötti</w:t>
      </w:r>
      <w:r w:rsidRPr="00EF5B63">
        <w:rPr>
          <w:rFonts w:ascii="Times New Roman" w:hAnsi="Times New Roman" w:cs="Times New Roman"/>
          <w:sz w:val="24"/>
          <w:szCs w:val="24"/>
        </w:rPr>
        <w:t xml:space="preserve"> egyeztetésekben, melyek eredményeként nagy örömünkre Magyarországon úttörő módon már 2020 tavaszán az európai egyetemek innovatív munkáját lehetővé tevő jogszabálymódosítási csomag kerülhetett elfogadásra a Kormányzat rendkívüli támogatásának köszönhetően. </w:t>
      </w:r>
    </w:p>
    <w:p w:rsidR="00910CF5" w:rsidRDefault="00910CF5" w:rsidP="00C03F01">
      <w:pPr>
        <w:spacing w:before="60" w:after="60" w:line="360" w:lineRule="exact"/>
        <w:jc w:val="both"/>
        <w:rPr>
          <w:rFonts w:ascii="Times New Roman" w:hAnsi="Times New Roman" w:cs="Times New Roman"/>
          <w:sz w:val="24"/>
          <w:szCs w:val="24"/>
        </w:rPr>
      </w:pPr>
      <w:r w:rsidRPr="00EF5B63">
        <w:rPr>
          <w:rFonts w:ascii="Times New Roman" w:hAnsi="Times New Roman" w:cs="Times New Roman"/>
          <w:sz w:val="24"/>
          <w:szCs w:val="24"/>
        </w:rPr>
        <w:t xml:space="preserve">A CHARM-EU 2020 </w:t>
      </w:r>
      <w:r>
        <w:rPr>
          <w:rFonts w:ascii="Times New Roman" w:hAnsi="Times New Roman" w:cs="Times New Roman"/>
          <w:sz w:val="24"/>
          <w:szCs w:val="24"/>
        </w:rPr>
        <w:t>február elején Budapesten az ELTE-n tartott széleskörű egyeztetést a partnerországok minőségbiztosítási ügynökségeivel, melyen A MAB és az ITM is képviseltette magát. F</w:t>
      </w:r>
      <w:r w:rsidRPr="00EF5B63">
        <w:rPr>
          <w:rFonts w:ascii="Times New Roman" w:hAnsi="Times New Roman" w:cs="Times New Roman"/>
          <w:sz w:val="24"/>
          <w:szCs w:val="24"/>
        </w:rPr>
        <w:t>ebruár</w:t>
      </w:r>
      <w:r>
        <w:rPr>
          <w:rFonts w:ascii="Times New Roman" w:hAnsi="Times New Roman" w:cs="Times New Roman"/>
          <w:sz w:val="24"/>
          <w:szCs w:val="24"/>
        </w:rPr>
        <w:t xml:space="preserve"> végén</w:t>
      </w:r>
      <w:r w:rsidRPr="00EF5B63">
        <w:rPr>
          <w:rFonts w:ascii="Times New Roman" w:hAnsi="Times New Roman" w:cs="Times New Roman"/>
          <w:sz w:val="24"/>
          <w:szCs w:val="24"/>
        </w:rPr>
        <w:t xml:space="preserve"> Dublinban többnapos workshopot tartott, ezt követően a járványhelyzet következtében online formában folytatódott a</w:t>
      </w:r>
      <w:r>
        <w:rPr>
          <w:rFonts w:ascii="Times New Roman" w:hAnsi="Times New Roman" w:cs="Times New Roman"/>
          <w:sz w:val="24"/>
          <w:szCs w:val="24"/>
        </w:rPr>
        <w:t>z intenzív</w:t>
      </w:r>
      <w:r w:rsidRPr="00EF5B63">
        <w:rPr>
          <w:rFonts w:ascii="Times New Roman" w:hAnsi="Times New Roman" w:cs="Times New Roman"/>
          <w:sz w:val="24"/>
          <w:szCs w:val="24"/>
        </w:rPr>
        <w:t xml:space="preserve"> munka</w:t>
      </w:r>
      <w:r>
        <w:rPr>
          <w:rFonts w:ascii="Times New Roman" w:hAnsi="Times New Roman" w:cs="Times New Roman"/>
          <w:sz w:val="24"/>
          <w:szCs w:val="24"/>
        </w:rPr>
        <w:t xml:space="preserve">. A Szövetség kidolgozta új közös mesterképzési programját, melynek 2020 végére elindult a nemzetközi minőségbiztosítási eljárása is. </w:t>
      </w:r>
    </w:p>
    <w:p w:rsidR="00910CF5" w:rsidRPr="007F6C59" w:rsidRDefault="00910CF5" w:rsidP="00C03F01">
      <w:pPr>
        <w:spacing w:before="60" w:after="60" w:line="360" w:lineRule="exact"/>
        <w:jc w:val="both"/>
        <w:rPr>
          <w:rFonts w:ascii="Times New Roman" w:hAnsi="Times New Roman" w:cs="Times New Roman"/>
          <w:sz w:val="24"/>
          <w:szCs w:val="24"/>
        </w:rPr>
      </w:pPr>
      <w:r>
        <w:rPr>
          <w:rFonts w:ascii="Times New Roman" w:hAnsi="Times New Roman" w:cs="Times New Roman"/>
          <w:sz w:val="24"/>
          <w:szCs w:val="24"/>
        </w:rPr>
        <w:t>A CHARM-EU partneregyetemei a H2020 ernyője alatt kiírt új kutatási-innovációs stratégiai projektjükkel (TORCH: Transforming Open Responsible Research and Innovation through CHARM) további több mint 2 millió eurós támogatást nyertek el szintén 2020-ban.</w:t>
      </w:r>
    </w:p>
    <w:p w:rsidR="008053D1" w:rsidRDefault="008053D1" w:rsidP="00C03F01">
      <w:pPr>
        <w:spacing w:before="60" w:after="60" w:line="360" w:lineRule="exact"/>
        <w:jc w:val="both"/>
        <w:rPr>
          <w:rFonts w:ascii="Times New Roman" w:hAnsi="Times New Roman" w:cs="Times New Roman"/>
          <w:i/>
          <w:sz w:val="24"/>
          <w:szCs w:val="24"/>
        </w:rPr>
      </w:pPr>
    </w:p>
    <w:p w:rsidR="008563E8" w:rsidRPr="007F6C59" w:rsidRDefault="008563E8" w:rsidP="00C03F01">
      <w:pPr>
        <w:spacing w:before="60" w:after="60" w:line="360" w:lineRule="exact"/>
        <w:jc w:val="both"/>
        <w:rPr>
          <w:rFonts w:ascii="Times New Roman" w:hAnsi="Times New Roman" w:cs="Times New Roman"/>
          <w:i/>
          <w:sz w:val="24"/>
          <w:szCs w:val="24"/>
        </w:rPr>
      </w:pPr>
    </w:p>
    <w:p w:rsidR="008053D1" w:rsidRPr="00310C52" w:rsidRDefault="00910CF5" w:rsidP="00C03F01">
      <w:pPr>
        <w:spacing w:before="60" w:after="60" w:line="360" w:lineRule="exact"/>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I.2.2. </w:t>
      </w:r>
      <w:r w:rsidRPr="007F6C59">
        <w:rPr>
          <w:rFonts w:ascii="Times New Roman" w:hAnsi="Times New Roman" w:cs="Times New Roman"/>
          <w:b/>
          <w:sz w:val="24"/>
          <w:szCs w:val="24"/>
        </w:rPr>
        <w:t>Hallgatótoborzó tevékenység</w:t>
      </w:r>
    </w:p>
    <w:p w:rsidR="0095364B" w:rsidRDefault="00910CF5" w:rsidP="00C03F01">
      <w:pPr>
        <w:spacing w:before="60" w:after="60" w:line="360" w:lineRule="exact"/>
        <w:jc w:val="both"/>
        <w:rPr>
          <w:rFonts w:ascii="Times New Roman" w:hAnsi="Times New Roman" w:cs="Times New Roman"/>
          <w:sz w:val="24"/>
          <w:szCs w:val="24"/>
        </w:rPr>
      </w:pPr>
      <w:r w:rsidRPr="00310C52">
        <w:rPr>
          <w:rFonts w:ascii="Times New Roman" w:hAnsi="Times New Roman" w:cs="Times New Roman"/>
          <w:sz w:val="24"/>
          <w:szCs w:val="24"/>
        </w:rPr>
        <w:t>2020</w:t>
      </w:r>
      <w:r>
        <w:rPr>
          <w:rFonts w:ascii="Times New Roman" w:hAnsi="Times New Roman" w:cs="Times New Roman"/>
          <w:sz w:val="24"/>
          <w:szCs w:val="24"/>
        </w:rPr>
        <w:t>-ban</w:t>
      </w:r>
      <w:r w:rsidRPr="00310C52">
        <w:rPr>
          <w:rFonts w:ascii="Times New Roman" w:hAnsi="Times New Roman" w:cs="Times New Roman"/>
          <w:sz w:val="24"/>
          <w:szCs w:val="24"/>
        </w:rPr>
        <w:t xml:space="preserve"> az ELTE fenntartotta korábbi együttműködéseit és nemzetközi online jelenlétét. 2020 októberében újabb 12 hónapra hosszabbította 50 képzésre vonatkozó szerződését a masterstudies.com és a bachelorstudies.com felületeken, </w:t>
      </w:r>
      <w:r>
        <w:rPr>
          <w:rFonts w:ascii="Times New Roman" w:hAnsi="Times New Roman" w:cs="Times New Roman"/>
          <w:sz w:val="24"/>
          <w:szCs w:val="24"/>
        </w:rPr>
        <w:t>és</w:t>
      </w:r>
      <w:r w:rsidRPr="00310C52">
        <w:rPr>
          <w:rFonts w:ascii="Times New Roman" w:hAnsi="Times New Roman" w:cs="Times New Roman"/>
          <w:sz w:val="24"/>
          <w:szCs w:val="24"/>
        </w:rPr>
        <w:t xml:space="preserve"> továbbra is 41 képzést hirdet az educations.com oldalon. A Times Higher Education céggel a szerződés újratárgyalása megkezdődött az egyetem népszerűsítésére. A képzési programok népszerűsítésére tervezett online kampányhoz grafika készült, a hallgatói szolgáltatások támogatása céljából </w:t>
      </w:r>
      <w:r>
        <w:rPr>
          <w:rFonts w:ascii="Times New Roman" w:hAnsi="Times New Roman" w:cs="Times New Roman"/>
          <w:sz w:val="24"/>
          <w:szCs w:val="24"/>
        </w:rPr>
        <w:t>szisztematikusan készültek el fontos dokum</w:t>
      </w:r>
      <w:r w:rsidR="00E93F21">
        <w:rPr>
          <w:rFonts w:ascii="Times New Roman" w:hAnsi="Times New Roman" w:cs="Times New Roman"/>
          <w:sz w:val="24"/>
          <w:szCs w:val="24"/>
        </w:rPr>
        <w:t>entumcsomagok angol fordításai.</w:t>
      </w:r>
    </w:p>
    <w:p w:rsidR="0087434C" w:rsidRPr="00E93F21" w:rsidRDefault="00910CF5" w:rsidP="008563E8">
      <w:pPr>
        <w:spacing w:before="60" w:line="360" w:lineRule="exact"/>
        <w:jc w:val="both"/>
        <w:rPr>
          <w:rFonts w:ascii="Times New Roman" w:hAnsi="Times New Roman" w:cs="Times New Roman"/>
          <w:sz w:val="24"/>
          <w:szCs w:val="24"/>
        </w:rPr>
      </w:pPr>
      <w:r>
        <w:rPr>
          <w:rFonts w:ascii="Times New Roman" w:hAnsi="Times New Roman" w:cs="Times New Roman"/>
          <w:sz w:val="24"/>
          <w:szCs w:val="24"/>
        </w:rPr>
        <w:t xml:space="preserve">A 2020-as őszi időszakban a következő virtuális hallgatótoborzó vásárokon vett részt az ELTE a Tempus Közalapítvány szervezésében: </w:t>
      </w:r>
      <w:r w:rsidRPr="00306035">
        <w:rPr>
          <w:rFonts w:ascii="Times New Roman" w:hAnsi="Times New Roman" w:cs="Times New Roman"/>
          <w:sz w:val="24"/>
          <w:szCs w:val="24"/>
        </w:rPr>
        <w:t>BMI Connect Latin America</w:t>
      </w:r>
      <w:r>
        <w:rPr>
          <w:rFonts w:ascii="Times New Roman" w:hAnsi="Times New Roman" w:cs="Times New Roman"/>
          <w:sz w:val="24"/>
          <w:szCs w:val="24"/>
        </w:rPr>
        <w:t xml:space="preserve"> (2020. 10. 03.), </w:t>
      </w:r>
      <w:r w:rsidRPr="00306035">
        <w:rPr>
          <w:rFonts w:ascii="Times New Roman" w:hAnsi="Times New Roman" w:cs="Times New Roman"/>
          <w:sz w:val="24"/>
          <w:szCs w:val="24"/>
        </w:rPr>
        <w:t>BMI Connect Sout</w:t>
      </w:r>
      <w:r>
        <w:rPr>
          <w:rFonts w:ascii="Times New Roman" w:hAnsi="Times New Roman" w:cs="Times New Roman"/>
          <w:sz w:val="24"/>
          <w:szCs w:val="24"/>
        </w:rPr>
        <w:t>h-E</w:t>
      </w:r>
      <w:r w:rsidRPr="00306035">
        <w:rPr>
          <w:rFonts w:ascii="Times New Roman" w:hAnsi="Times New Roman" w:cs="Times New Roman"/>
          <w:sz w:val="24"/>
          <w:szCs w:val="24"/>
        </w:rPr>
        <w:t>ast</w:t>
      </w:r>
      <w:r>
        <w:rPr>
          <w:rFonts w:ascii="Times New Roman" w:hAnsi="Times New Roman" w:cs="Times New Roman"/>
          <w:sz w:val="24"/>
          <w:szCs w:val="24"/>
        </w:rPr>
        <w:t xml:space="preserve"> </w:t>
      </w:r>
      <w:r w:rsidRPr="00306035">
        <w:rPr>
          <w:rFonts w:ascii="Times New Roman" w:hAnsi="Times New Roman" w:cs="Times New Roman"/>
          <w:sz w:val="24"/>
          <w:szCs w:val="24"/>
        </w:rPr>
        <w:t>Asia</w:t>
      </w:r>
      <w:r>
        <w:rPr>
          <w:rFonts w:ascii="Times New Roman" w:hAnsi="Times New Roman" w:cs="Times New Roman"/>
          <w:sz w:val="24"/>
          <w:szCs w:val="24"/>
        </w:rPr>
        <w:t xml:space="preserve"> (2020. </w:t>
      </w:r>
      <w:r w:rsidRPr="00306035">
        <w:rPr>
          <w:rFonts w:ascii="Times New Roman" w:hAnsi="Times New Roman" w:cs="Times New Roman"/>
          <w:sz w:val="24"/>
          <w:szCs w:val="24"/>
        </w:rPr>
        <w:t>10.</w:t>
      </w:r>
      <w:r>
        <w:rPr>
          <w:rFonts w:ascii="Times New Roman" w:hAnsi="Times New Roman" w:cs="Times New Roman"/>
          <w:sz w:val="24"/>
          <w:szCs w:val="24"/>
        </w:rPr>
        <w:t xml:space="preserve"> 10.), és Begin India-Srilanka (2020. 10. 28.). Ingyenes részvétellel az EHEF Fülöp-szigeteki vásáron (2020. október 2-3.) és a Fudan Egyetem szervezésében megrendezésre kerülő Online European Education Fair-en (2020. 10. 30.) mutatkozott be az ELTE. Saját szervezésben, önköltségen a Korea Virtual Fair hallgatótoborzó vásáron (2020. 11. 23- 24.) vett részt. A virtuális vásárok tapasztalatait a további hasonló eseményeken való részvétel hatékonyságának növelése érdekében hasznosítjuk.</w:t>
      </w:r>
    </w:p>
    <w:p w:rsidR="008053D1" w:rsidRPr="004B4BCA" w:rsidRDefault="00910CF5" w:rsidP="00C03F01">
      <w:pPr>
        <w:spacing w:before="60" w:after="60" w:line="360" w:lineRule="exact"/>
        <w:jc w:val="both"/>
        <w:rPr>
          <w:rFonts w:ascii="Times New Roman" w:hAnsi="Times New Roman" w:cs="Times New Roman"/>
          <w:b/>
          <w:sz w:val="24"/>
          <w:szCs w:val="24"/>
        </w:rPr>
      </w:pPr>
      <w:r>
        <w:rPr>
          <w:rFonts w:ascii="Times New Roman" w:hAnsi="Times New Roman" w:cs="Times New Roman"/>
          <w:b/>
          <w:sz w:val="24"/>
          <w:szCs w:val="24"/>
        </w:rPr>
        <w:t xml:space="preserve">I.2.3. </w:t>
      </w:r>
      <w:r w:rsidRPr="007F6C59">
        <w:rPr>
          <w:rFonts w:ascii="Times New Roman" w:hAnsi="Times New Roman" w:cs="Times New Roman"/>
          <w:b/>
          <w:sz w:val="24"/>
          <w:szCs w:val="24"/>
        </w:rPr>
        <w:t>Fő rendezvények, nyári egyetemek</w:t>
      </w:r>
    </w:p>
    <w:p w:rsidR="00910CF5" w:rsidRPr="004B4BCA" w:rsidRDefault="00910CF5" w:rsidP="00C03F01">
      <w:pPr>
        <w:spacing w:before="60" w:after="60" w:line="360" w:lineRule="exact"/>
        <w:jc w:val="both"/>
        <w:rPr>
          <w:rFonts w:ascii="Times New Roman" w:hAnsi="Times New Roman" w:cs="Times New Roman"/>
          <w:sz w:val="24"/>
          <w:szCs w:val="24"/>
        </w:rPr>
      </w:pPr>
      <w:r w:rsidRPr="004B4BCA">
        <w:rPr>
          <w:rFonts w:ascii="Times New Roman" w:hAnsi="Times New Roman" w:cs="Times New Roman"/>
          <w:sz w:val="24"/>
          <w:szCs w:val="24"/>
        </w:rPr>
        <w:t>2020 januárban három alkalmas interkulturális tréning valósut meg a Pedagógiai és Pszichológiai Kar szakértő oktatói vezetésével az ELTE támogató munkatársai számára.</w:t>
      </w:r>
    </w:p>
    <w:p w:rsidR="00910CF5" w:rsidRDefault="00910CF5" w:rsidP="00C03F01">
      <w:pPr>
        <w:spacing w:before="60" w:after="60" w:line="360" w:lineRule="exact"/>
        <w:jc w:val="both"/>
        <w:rPr>
          <w:rFonts w:ascii="Times New Roman" w:hAnsi="Times New Roman" w:cs="Times New Roman"/>
          <w:sz w:val="24"/>
          <w:szCs w:val="24"/>
        </w:rPr>
      </w:pPr>
      <w:r>
        <w:rPr>
          <w:rFonts w:ascii="Times New Roman" w:hAnsi="Times New Roman" w:cs="Times New Roman"/>
          <w:sz w:val="24"/>
          <w:szCs w:val="24"/>
        </w:rPr>
        <w:t xml:space="preserve">A járványügyi helyzetre tekintettel </w:t>
      </w:r>
      <w:r w:rsidRPr="00310C52">
        <w:rPr>
          <w:rFonts w:ascii="Times New Roman" w:hAnsi="Times New Roman" w:cs="Times New Roman"/>
          <w:sz w:val="24"/>
          <w:szCs w:val="24"/>
        </w:rPr>
        <w:t>2020 nyar</w:t>
      </w:r>
      <w:r>
        <w:rPr>
          <w:rFonts w:ascii="Times New Roman" w:hAnsi="Times New Roman" w:cs="Times New Roman"/>
          <w:sz w:val="24"/>
          <w:szCs w:val="24"/>
        </w:rPr>
        <w:t xml:space="preserve">án az ELTE elhalasztotta valamennyi nyári egyetemi rendezvényét, beleértve a Kárpát-medencei Nyári Egyetemet, egyetértésben az azt nagymértékben támogató Miniszterelnökséggel. </w:t>
      </w:r>
    </w:p>
    <w:p w:rsidR="0087434C" w:rsidRPr="007F6C59" w:rsidRDefault="00910CF5" w:rsidP="008563E8">
      <w:pPr>
        <w:spacing w:before="60" w:line="360" w:lineRule="exact"/>
        <w:jc w:val="both"/>
        <w:rPr>
          <w:rFonts w:ascii="Times New Roman" w:hAnsi="Times New Roman" w:cs="Times New Roman"/>
          <w:sz w:val="24"/>
          <w:szCs w:val="24"/>
        </w:rPr>
      </w:pPr>
      <w:r w:rsidRPr="004B4BCA">
        <w:rPr>
          <w:rFonts w:ascii="Times New Roman" w:hAnsi="Times New Roman" w:cs="Times New Roman"/>
          <w:sz w:val="24"/>
          <w:szCs w:val="24"/>
        </w:rPr>
        <w:t>2020. október 21-én az ELTE-re látogatott Pacsay-Tomassich Orsolya államtitkár asszony</w:t>
      </w:r>
      <w:r>
        <w:rPr>
          <w:rFonts w:ascii="Times New Roman" w:hAnsi="Times New Roman" w:cs="Times New Roman"/>
          <w:sz w:val="24"/>
          <w:szCs w:val="24"/>
        </w:rPr>
        <w:t>. A látogatás</w:t>
      </w:r>
      <w:r w:rsidRPr="004B4BCA">
        <w:rPr>
          <w:rFonts w:ascii="Times New Roman" w:hAnsi="Times New Roman" w:cs="Times New Roman"/>
          <w:sz w:val="24"/>
          <w:szCs w:val="24"/>
        </w:rPr>
        <w:t xml:space="preserve"> keretében vezetői egyeztetések</w:t>
      </w:r>
      <w:r>
        <w:rPr>
          <w:rFonts w:ascii="Times New Roman" w:hAnsi="Times New Roman" w:cs="Times New Roman"/>
          <w:sz w:val="24"/>
          <w:szCs w:val="24"/>
        </w:rPr>
        <w:t>re került sor, majd Államtitkár Asszony</w:t>
      </w:r>
      <w:r w:rsidRPr="004B4BCA">
        <w:rPr>
          <w:rFonts w:ascii="Times New Roman" w:hAnsi="Times New Roman" w:cs="Times New Roman"/>
          <w:sz w:val="24"/>
          <w:szCs w:val="24"/>
        </w:rPr>
        <w:t xml:space="preserve"> a Lágymányosi Campus</w:t>
      </w:r>
      <w:r>
        <w:rPr>
          <w:rFonts w:ascii="Times New Roman" w:hAnsi="Times New Roman" w:cs="Times New Roman"/>
          <w:sz w:val="24"/>
          <w:szCs w:val="24"/>
        </w:rPr>
        <w:t>ra látogatott, ahol</w:t>
      </w:r>
      <w:r w:rsidRPr="004B4BCA">
        <w:rPr>
          <w:rFonts w:ascii="Times New Roman" w:hAnsi="Times New Roman" w:cs="Times New Roman"/>
          <w:sz w:val="24"/>
          <w:szCs w:val="24"/>
        </w:rPr>
        <w:t xml:space="preserve"> Stipendium Hungaricum ösztöndíjas hallgató</w:t>
      </w:r>
      <w:r>
        <w:rPr>
          <w:rFonts w:ascii="Times New Roman" w:hAnsi="Times New Roman" w:cs="Times New Roman"/>
          <w:sz w:val="24"/>
          <w:szCs w:val="24"/>
        </w:rPr>
        <w:t>kk</w:t>
      </w:r>
      <w:r w:rsidRPr="004B4BCA">
        <w:rPr>
          <w:rFonts w:ascii="Times New Roman" w:hAnsi="Times New Roman" w:cs="Times New Roman"/>
          <w:sz w:val="24"/>
          <w:szCs w:val="24"/>
        </w:rPr>
        <w:t>al</w:t>
      </w:r>
      <w:r>
        <w:rPr>
          <w:rFonts w:ascii="Times New Roman" w:hAnsi="Times New Roman" w:cs="Times New Roman"/>
          <w:sz w:val="24"/>
          <w:szCs w:val="24"/>
        </w:rPr>
        <w:t xml:space="preserve"> is</w:t>
      </w:r>
      <w:r w:rsidRPr="004B4BCA">
        <w:rPr>
          <w:rFonts w:ascii="Times New Roman" w:hAnsi="Times New Roman" w:cs="Times New Roman"/>
          <w:sz w:val="24"/>
          <w:szCs w:val="24"/>
        </w:rPr>
        <w:t xml:space="preserve"> találkozott.</w:t>
      </w:r>
    </w:p>
    <w:p w:rsidR="00910CF5" w:rsidRDefault="00910CF5" w:rsidP="00C03F01">
      <w:pPr>
        <w:spacing w:before="60" w:after="60" w:line="360" w:lineRule="exact"/>
        <w:jc w:val="both"/>
        <w:rPr>
          <w:rFonts w:ascii="Times New Roman" w:hAnsi="Times New Roman" w:cs="Times New Roman"/>
          <w:b/>
          <w:sz w:val="24"/>
          <w:szCs w:val="24"/>
        </w:rPr>
      </w:pPr>
      <w:r>
        <w:rPr>
          <w:rFonts w:ascii="Times New Roman" w:hAnsi="Times New Roman" w:cs="Times New Roman"/>
          <w:b/>
          <w:sz w:val="24"/>
          <w:szCs w:val="24"/>
        </w:rPr>
        <w:t xml:space="preserve">I.2.4. </w:t>
      </w:r>
      <w:r w:rsidRPr="007F6C59">
        <w:rPr>
          <w:rFonts w:ascii="Times New Roman" w:hAnsi="Times New Roman" w:cs="Times New Roman"/>
          <w:b/>
          <w:sz w:val="24"/>
          <w:szCs w:val="24"/>
        </w:rPr>
        <w:t>Intézményközi kapcsolatok és vonatkozó események</w:t>
      </w:r>
    </w:p>
    <w:p w:rsidR="00910CF5" w:rsidRDefault="00910CF5" w:rsidP="00C03F01">
      <w:pPr>
        <w:spacing w:before="60" w:after="60" w:line="360" w:lineRule="exact"/>
        <w:jc w:val="both"/>
        <w:rPr>
          <w:rFonts w:ascii="Times New Roman" w:hAnsi="Times New Roman" w:cs="Times New Roman"/>
          <w:sz w:val="24"/>
          <w:szCs w:val="24"/>
        </w:rPr>
      </w:pPr>
      <w:r w:rsidRPr="004B4BCA">
        <w:rPr>
          <w:rFonts w:ascii="Times New Roman" w:hAnsi="Times New Roman" w:cs="Times New Roman"/>
          <w:sz w:val="24"/>
          <w:szCs w:val="24"/>
        </w:rPr>
        <w:t xml:space="preserve">A Tempus Közalapítvány támogatásával </w:t>
      </w:r>
      <w:r>
        <w:rPr>
          <w:rFonts w:ascii="Times New Roman" w:hAnsi="Times New Roman" w:cs="Times New Roman"/>
          <w:sz w:val="24"/>
          <w:szCs w:val="24"/>
        </w:rPr>
        <w:t xml:space="preserve">az ELTE képviselői </w:t>
      </w:r>
      <w:r w:rsidRPr="004B4BCA">
        <w:rPr>
          <w:rFonts w:ascii="Times New Roman" w:hAnsi="Times New Roman" w:cs="Times New Roman"/>
          <w:sz w:val="24"/>
          <w:szCs w:val="24"/>
        </w:rPr>
        <w:t>online formában részt vett</w:t>
      </w:r>
      <w:r>
        <w:rPr>
          <w:rFonts w:ascii="Times New Roman" w:hAnsi="Times New Roman" w:cs="Times New Roman"/>
          <w:sz w:val="24"/>
          <w:szCs w:val="24"/>
        </w:rPr>
        <w:t>e</w:t>
      </w:r>
      <w:r w:rsidRPr="004B4BCA">
        <w:rPr>
          <w:rFonts w:ascii="Times New Roman" w:hAnsi="Times New Roman" w:cs="Times New Roman"/>
          <w:sz w:val="24"/>
          <w:szCs w:val="24"/>
        </w:rPr>
        <w:t>k a NAFSA (2020. május/június), valamint az EAIE konferenciákon (2020. október).</w:t>
      </w:r>
    </w:p>
    <w:p w:rsidR="00910CF5" w:rsidRDefault="00910CF5" w:rsidP="00C03F01">
      <w:pPr>
        <w:spacing w:before="60" w:after="60" w:line="360" w:lineRule="exact"/>
        <w:jc w:val="both"/>
        <w:rPr>
          <w:rFonts w:ascii="Times New Roman" w:hAnsi="Times New Roman" w:cs="Times New Roman"/>
          <w:sz w:val="24"/>
          <w:szCs w:val="24"/>
        </w:rPr>
      </w:pPr>
      <w:r w:rsidRPr="004B4BCA">
        <w:rPr>
          <w:rFonts w:ascii="Times New Roman" w:hAnsi="Times New Roman" w:cs="Times New Roman"/>
          <w:sz w:val="24"/>
          <w:szCs w:val="24"/>
        </w:rPr>
        <w:t>Az ELTE vezetői szinten képviseltette magát számos egyetemi hálózat és stratégiai együttműködés közgyűlésén és találkozóin (Coimbra Group, EUA, UNICA, EUF, CELSA, CENTRAL), amelyek online valósultak meg. 2020 október</w:t>
      </w:r>
      <w:r>
        <w:rPr>
          <w:rFonts w:ascii="Times New Roman" w:hAnsi="Times New Roman" w:cs="Times New Roman"/>
          <w:sz w:val="24"/>
          <w:szCs w:val="24"/>
        </w:rPr>
        <w:t>é</w:t>
      </w:r>
      <w:r w:rsidRPr="004B4BCA">
        <w:rPr>
          <w:rFonts w:ascii="Times New Roman" w:hAnsi="Times New Roman" w:cs="Times New Roman"/>
          <w:sz w:val="24"/>
          <w:szCs w:val="24"/>
        </w:rPr>
        <w:t xml:space="preserve">ben az ELTE két webináriumot szervezett az UNICA hálózattal közösen, az egyik a COVID járvány orvosi, jogi, szociológiai aspektusait járta körbe a Semmelweis Egyetemmel közös szervezésben, a másik pedig a </w:t>
      </w:r>
      <w:r w:rsidRPr="004B4BCA">
        <w:rPr>
          <w:rFonts w:ascii="Times New Roman" w:hAnsi="Times New Roman" w:cs="Times New Roman"/>
          <w:sz w:val="24"/>
          <w:szCs w:val="24"/>
        </w:rPr>
        <w:lastRenderedPageBreak/>
        <w:t>hálózat Kommunikációs és PR munkacsoportjának éves workshop</w:t>
      </w:r>
      <w:r>
        <w:rPr>
          <w:rFonts w:ascii="Times New Roman" w:hAnsi="Times New Roman" w:cs="Times New Roman"/>
          <w:sz w:val="24"/>
          <w:szCs w:val="24"/>
        </w:rPr>
        <w:t>ja</w:t>
      </w:r>
      <w:r w:rsidRPr="004B4BCA">
        <w:rPr>
          <w:rFonts w:ascii="Times New Roman" w:hAnsi="Times New Roman" w:cs="Times New Roman"/>
          <w:sz w:val="24"/>
          <w:szCs w:val="24"/>
        </w:rPr>
        <w:t xml:space="preserve"> volt, amely eredetileg személyes részvétellel került volna megrendezésre az ELTE-n.</w:t>
      </w:r>
    </w:p>
    <w:p w:rsidR="00910CF5" w:rsidRDefault="00910CF5" w:rsidP="00C03F01">
      <w:pPr>
        <w:spacing w:before="60" w:after="60" w:line="360" w:lineRule="exact"/>
        <w:jc w:val="both"/>
        <w:rPr>
          <w:rFonts w:ascii="Times New Roman" w:hAnsi="Times New Roman" w:cs="Times New Roman"/>
          <w:sz w:val="24"/>
          <w:szCs w:val="24"/>
        </w:rPr>
      </w:pPr>
      <w:r w:rsidRPr="003C6DD3">
        <w:rPr>
          <w:rFonts w:ascii="Times New Roman" w:hAnsi="Times New Roman" w:cs="Times New Roman"/>
          <w:sz w:val="24"/>
          <w:szCs w:val="24"/>
        </w:rPr>
        <w:t xml:space="preserve">A </w:t>
      </w:r>
      <w:r w:rsidRPr="003F6330">
        <w:rPr>
          <w:rFonts w:ascii="Times New Roman" w:hAnsi="Times New Roman" w:cs="Times New Roman"/>
          <w:b/>
          <w:sz w:val="24"/>
          <w:szCs w:val="24"/>
        </w:rPr>
        <w:t>CENTRAL</w:t>
      </w:r>
      <w:r w:rsidRPr="003C6DD3">
        <w:rPr>
          <w:rFonts w:ascii="Times New Roman" w:hAnsi="Times New Roman" w:cs="Times New Roman"/>
          <w:sz w:val="24"/>
          <w:szCs w:val="24"/>
        </w:rPr>
        <w:t xml:space="preserve"> stratégiai együttműködés átalakulóban van, az év második felében a Bécsi Egyetem vezetésével került kidolgozásra a hálózat új fázisának, tevékenységeinek koncepciója, melynek megvalósítása 2021-ben kezdődik.</w:t>
      </w:r>
      <w:r>
        <w:rPr>
          <w:rFonts w:ascii="Times New Roman" w:hAnsi="Times New Roman" w:cs="Times New Roman"/>
          <w:sz w:val="24"/>
          <w:szCs w:val="24"/>
        </w:rPr>
        <w:t xml:space="preserve"> </w:t>
      </w:r>
    </w:p>
    <w:p w:rsidR="0095364B" w:rsidRDefault="00910CF5" w:rsidP="00C03F01">
      <w:pPr>
        <w:spacing w:before="60" w:after="60" w:line="360" w:lineRule="exact"/>
        <w:jc w:val="both"/>
        <w:rPr>
          <w:rFonts w:ascii="Times New Roman" w:hAnsi="Times New Roman" w:cs="Times New Roman"/>
          <w:sz w:val="24"/>
          <w:szCs w:val="24"/>
        </w:rPr>
      </w:pPr>
      <w:r w:rsidRPr="003C6DD3">
        <w:rPr>
          <w:rFonts w:ascii="Times New Roman" w:hAnsi="Times New Roman" w:cs="Times New Roman"/>
          <w:sz w:val="24"/>
          <w:szCs w:val="24"/>
        </w:rPr>
        <w:t xml:space="preserve">A </w:t>
      </w:r>
      <w:r w:rsidRPr="003F6330">
        <w:rPr>
          <w:rFonts w:ascii="Times New Roman" w:hAnsi="Times New Roman" w:cs="Times New Roman"/>
          <w:b/>
          <w:sz w:val="24"/>
          <w:szCs w:val="24"/>
        </w:rPr>
        <w:t>CELSA</w:t>
      </w:r>
      <w:r w:rsidRPr="003C6DD3">
        <w:rPr>
          <w:rFonts w:ascii="Times New Roman" w:hAnsi="Times New Roman" w:cs="Times New Roman"/>
          <w:sz w:val="24"/>
          <w:szCs w:val="24"/>
        </w:rPr>
        <w:t xml:space="preserve"> Research Fund pályázat keretében egy TTK-s részvételű kutatás nyert támogatást, hogy a KU Leuven intézményben dolgozó partnerrel közösen </w:t>
      </w:r>
      <w:r>
        <w:rPr>
          <w:rFonts w:ascii="Times New Roman" w:hAnsi="Times New Roman" w:cs="Times New Roman"/>
          <w:sz w:val="24"/>
          <w:szCs w:val="24"/>
        </w:rPr>
        <w:t xml:space="preserve">valósítsa meg </w:t>
      </w:r>
      <w:r w:rsidRPr="003C6DD3">
        <w:rPr>
          <w:rFonts w:ascii="Times New Roman" w:hAnsi="Times New Roman" w:cs="Times New Roman"/>
          <w:sz w:val="24"/>
          <w:szCs w:val="24"/>
        </w:rPr>
        <w:t>három</w:t>
      </w:r>
      <w:r>
        <w:rPr>
          <w:rFonts w:ascii="Times New Roman" w:hAnsi="Times New Roman" w:cs="Times New Roman"/>
          <w:sz w:val="24"/>
          <w:szCs w:val="24"/>
        </w:rPr>
        <w:t>éves projektjét.</w:t>
      </w:r>
      <w:r w:rsidR="00E93F21">
        <w:rPr>
          <w:rFonts w:ascii="Times New Roman" w:hAnsi="Times New Roman" w:cs="Times New Roman"/>
          <w:sz w:val="24"/>
          <w:szCs w:val="24"/>
        </w:rPr>
        <w:t xml:space="preserve"> </w:t>
      </w:r>
    </w:p>
    <w:p w:rsidR="00E93F21" w:rsidRPr="00E93F21" w:rsidRDefault="00910CF5" w:rsidP="008563E8">
      <w:pPr>
        <w:spacing w:before="60" w:line="360" w:lineRule="exact"/>
        <w:jc w:val="both"/>
        <w:rPr>
          <w:rFonts w:ascii="Times New Roman" w:hAnsi="Times New Roman" w:cs="Times New Roman"/>
          <w:sz w:val="24"/>
          <w:szCs w:val="24"/>
        </w:rPr>
      </w:pPr>
      <w:r w:rsidRPr="003C6DD3">
        <w:rPr>
          <w:rFonts w:ascii="Times New Roman" w:hAnsi="Times New Roman" w:cs="Times New Roman"/>
          <w:sz w:val="24"/>
          <w:szCs w:val="24"/>
        </w:rPr>
        <w:t xml:space="preserve">2020 folyamán kihelyezett irodát </w:t>
      </w:r>
      <w:r w:rsidRPr="003C6DD3">
        <w:rPr>
          <w:rFonts w:ascii="Times New Roman" w:hAnsi="Times New Roman" w:cs="Times New Roman"/>
          <w:i/>
          <w:iCs/>
          <w:sz w:val="24"/>
          <w:szCs w:val="24"/>
        </w:rPr>
        <w:t>(branch office)</w:t>
      </w:r>
      <w:r w:rsidRPr="003C6DD3">
        <w:rPr>
          <w:rFonts w:ascii="Times New Roman" w:hAnsi="Times New Roman" w:cs="Times New Roman"/>
          <w:sz w:val="24"/>
          <w:szCs w:val="24"/>
        </w:rPr>
        <w:t xml:space="preserve"> nyitott az ELTE-n a </w:t>
      </w:r>
      <w:r>
        <w:rPr>
          <w:rFonts w:ascii="Times New Roman" w:hAnsi="Times New Roman" w:cs="Times New Roman"/>
          <w:sz w:val="24"/>
          <w:szCs w:val="24"/>
        </w:rPr>
        <w:t xml:space="preserve">jelentős </w:t>
      </w:r>
      <w:r w:rsidRPr="003F6330">
        <w:rPr>
          <w:rFonts w:ascii="Times New Roman" w:hAnsi="Times New Roman" w:cs="Times New Roman"/>
          <w:b/>
          <w:sz w:val="24"/>
          <w:szCs w:val="24"/>
        </w:rPr>
        <w:t>European University Foundation</w:t>
      </w:r>
      <w:r w:rsidRPr="003C6DD3">
        <w:rPr>
          <w:rFonts w:ascii="Times New Roman" w:hAnsi="Times New Roman" w:cs="Times New Roman"/>
          <w:sz w:val="24"/>
          <w:szCs w:val="24"/>
        </w:rPr>
        <w:t xml:space="preserve"> (EUF) egyetemi hálózat, mellyel az ELTE számos kiemelt jelentőségű stratégiai együttműködési projekten dolgozott és dolgozik együtt.</w:t>
      </w:r>
    </w:p>
    <w:p w:rsidR="009B585A" w:rsidRPr="00600469" w:rsidRDefault="009B585A" w:rsidP="00C03F01">
      <w:pPr>
        <w:spacing w:before="60" w:after="60" w:line="360" w:lineRule="exact"/>
        <w:jc w:val="both"/>
        <w:rPr>
          <w:rFonts w:ascii="Times New Roman" w:hAnsi="Times New Roman" w:cs="Times New Roman"/>
          <w:b/>
          <w:sz w:val="24"/>
          <w:szCs w:val="24"/>
        </w:rPr>
      </w:pPr>
      <w:r w:rsidRPr="00236784">
        <w:rPr>
          <w:rFonts w:ascii="Times New Roman" w:hAnsi="Times New Roman" w:cs="Times New Roman"/>
          <w:b/>
          <w:sz w:val="24"/>
          <w:szCs w:val="24"/>
        </w:rPr>
        <w:t>I.3. A 2020. évi pályázati források és azok felhasználásának alakulása</w:t>
      </w:r>
    </w:p>
    <w:p w:rsidR="009B585A" w:rsidRPr="00600469" w:rsidRDefault="009B585A" w:rsidP="00C03F01">
      <w:pPr>
        <w:spacing w:before="60" w:after="60" w:line="360" w:lineRule="exact"/>
        <w:jc w:val="both"/>
        <w:rPr>
          <w:rFonts w:ascii="Times New Roman" w:hAnsi="Times New Roman" w:cs="Times New Roman"/>
          <w:sz w:val="24"/>
          <w:szCs w:val="24"/>
        </w:rPr>
      </w:pPr>
      <w:r w:rsidRPr="00600469">
        <w:rPr>
          <w:rFonts w:ascii="Times New Roman" w:hAnsi="Times New Roman" w:cs="Times New Roman"/>
          <w:sz w:val="24"/>
          <w:szCs w:val="24"/>
        </w:rPr>
        <w:t>2020. évben az ELTE hazai és nemzetközi pályázatok</w:t>
      </w:r>
      <w:r>
        <w:rPr>
          <w:rFonts w:ascii="Times New Roman" w:hAnsi="Times New Roman" w:cs="Times New Roman"/>
          <w:sz w:val="24"/>
          <w:szCs w:val="24"/>
        </w:rPr>
        <w:t xml:space="preserve"> </w:t>
      </w:r>
      <w:r w:rsidRPr="00600469">
        <w:rPr>
          <w:rFonts w:ascii="Times New Roman" w:hAnsi="Times New Roman" w:cs="Times New Roman"/>
          <w:sz w:val="24"/>
          <w:szCs w:val="24"/>
        </w:rPr>
        <w:t>megvalósítására elnyert tárgyévi pályázati bevétele 9 933,5 mFt, a pénzügyi felhasználás 9 292,2 mFt volt</w:t>
      </w:r>
      <w:r>
        <w:rPr>
          <w:rFonts w:ascii="Times New Roman" w:hAnsi="Times New Roman" w:cs="Times New Roman"/>
          <w:sz w:val="24"/>
          <w:szCs w:val="24"/>
        </w:rPr>
        <w:t xml:space="preserve"> (forint és deziva számlákkal együtt)</w:t>
      </w:r>
      <w:r w:rsidRPr="00600469">
        <w:rPr>
          <w:rFonts w:ascii="Times New Roman" w:hAnsi="Times New Roman" w:cs="Times New Roman"/>
          <w:sz w:val="24"/>
          <w:szCs w:val="24"/>
        </w:rPr>
        <w:t xml:space="preserve">. </w:t>
      </w:r>
    </w:p>
    <w:p w:rsidR="009B585A" w:rsidRPr="00600469" w:rsidRDefault="009B585A" w:rsidP="00C03F01">
      <w:pPr>
        <w:spacing w:before="60" w:after="60" w:line="360" w:lineRule="exact"/>
        <w:jc w:val="both"/>
        <w:rPr>
          <w:rFonts w:ascii="Times New Roman" w:hAnsi="Times New Roman" w:cs="Times New Roman"/>
          <w:sz w:val="24"/>
          <w:szCs w:val="24"/>
        </w:rPr>
      </w:pPr>
      <w:r w:rsidRPr="00600469">
        <w:rPr>
          <w:rFonts w:ascii="Times New Roman" w:hAnsi="Times New Roman" w:cs="Times New Roman"/>
          <w:sz w:val="24"/>
          <w:szCs w:val="24"/>
        </w:rPr>
        <w:t>A pályázati úton megszerzett források két nagy csoportja:</w:t>
      </w:r>
    </w:p>
    <w:p w:rsidR="009B585A" w:rsidRPr="00600469" w:rsidRDefault="009B585A" w:rsidP="00E93F21">
      <w:pPr>
        <w:pStyle w:val="Listaszerbekezds"/>
        <w:numPr>
          <w:ilvl w:val="0"/>
          <w:numId w:val="36"/>
        </w:numPr>
        <w:spacing w:before="60" w:after="60" w:line="360" w:lineRule="exact"/>
        <w:ind w:left="340" w:hanging="340"/>
        <w:rPr>
          <w:szCs w:val="24"/>
        </w:rPr>
      </w:pPr>
      <w:r w:rsidRPr="00600469">
        <w:rPr>
          <w:szCs w:val="24"/>
        </w:rPr>
        <w:t xml:space="preserve">a </w:t>
      </w:r>
      <w:r w:rsidRPr="00CA1FFA">
        <w:rPr>
          <w:b/>
          <w:szCs w:val="24"/>
        </w:rPr>
        <w:t xml:space="preserve">hazai </w:t>
      </w:r>
      <w:r w:rsidRPr="00C03F01">
        <w:rPr>
          <w:szCs w:val="24"/>
        </w:rPr>
        <w:t>forrásból</w:t>
      </w:r>
      <w:r w:rsidRPr="00600469">
        <w:rPr>
          <w:szCs w:val="24"/>
        </w:rPr>
        <w:t xml:space="preserve"> (Kiválósági támogatásokkal együtt) biztosított projektek bevétele </w:t>
      </w:r>
      <w:r>
        <w:rPr>
          <w:szCs w:val="24"/>
        </w:rPr>
        <w:t>5</w:t>
      </w:r>
      <w:r w:rsidRPr="00A273E3">
        <w:rPr>
          <w:szCs w:val="24"/>
        </w:rPr>
        <w:t> 2</w:t>
      </w:r>
      <w:r>
        <w:rPr>
          <w:szCs w:val="24"/>
        </w:rPr>
        <w:t>97</w:t>
      </w:r>
      <w:r w:rsidRPr="00A273E3">
        <w:rPr>
          <w:szCs w:val="24"/>
        </w:rPr>
        <w:t>,2 </w:t>
      </w:r>
      <w:r w:rsidRPr="00600469">
        <w:rPr>
          <w:szCs w:val="24"/>
        </w:rPr>
        <w:t xml:space="preserve">mFt, a pénzügyi felhasználás </w:t>
      </w:r>
      <w:r>
        <w:rPr>
          <w:szCs w:val="24"/>
        </w:rPr>
        <w:t>4 557,0</w:t>
      </w:r>
      <w:r w:rsidRPr="00A273E3">
        <w:rPr>
          <w:szCs w:val="24"/>
        </w:rPr>
        <w:t> </w:t>
      </w:r>
      <w:r w:rsidRPr="00600469">
        <w:rPr>
          <w:szCs w:val="24"/>
        </w:rPr>
        <w:t xml:space="preserve">mFt volt, </w:t>
      </w:r>
    </w:p>
    <w:p w:rsidR="009B585A" w:rsidRPr="00E93F21" w:rsidRDefault="009B585A" w:rsidP="00E93F21">
      <w:pPr>
        <w:pStyle w:val="Listaszerbekezds"/>
        <w:numPr>
          <w:ilvl w:val="0"/>
          <w:numId w:val="36"/>
        </w:numPr>
        <w:spacing w:before="60" w:after="60" w:line="360" w:lineRule="exact"/>
        <w:ind w:left="340" w:hanging="340"/>
        <w:rPr>
          <w:szCs w:val="24"/>
        </w:rPr>
      </w:pPr>
      <w:r w:rsidRPr="00600469">
        <w:rPr>
          <w:szCs w:val="24"/>
        </w:rPr>
        <w:t xml:space="preserve">a </w:t>
      </w:r>
      <w:r w:rsidRPr="00CA1FFA">
        <w:rPr>
          <w:b/>
          <w:szCs w:val="24"/>
        </w:rPr>
        <w:t xml:space="preserve">nemzetközi </w:t>
      </w:r>
      <w:r w:rsidRPr="00C03F01">
        <w:rPr>
          <w:szCs w:val="24"/>
        </w:rPr>
        <w:t>forrásokból</w:t>
      </w:r>
      <w:r w:rsidRPr="00600469">
        <w:rPr>
          <w:szCs w:val="24"/>
        </w:rPr>
        <w:t xml:space="preserve"> (beleértve a központi költségvetés XIX. fejezetében foglalt OP támogatásokat) finanszírozott projektek bevétele  </w:t>
      </w:r>
      <w:r>
        <w:rPr>
          <w:szCs w:val="24"/>
        </w:rPr>
        <w:t>4</w:t>
      </w:r>
      <w:r w:rsidRPr="00A273E3">
        <w:rPr>
          <w:szCs w:val="24"/>
        </w:rPr>
        <w:t> </w:t>
      </w:r>
      <w:r>
        <w:rPr>
          <w:szCs w:val="24"/>
        </w:rPr>
        <w:t>636</w:t>
      </w:r>
      <w:r w:rsidRPr="00A273E3">
        <w:rPr>
          <w:szCs w:val="24"/>
        </w:rPr>
        <w:t>,</w:t>
      </w:r>
      <w:r>
        <w:rPr>
          <w:szCs w:val="24"/>
        </w:rPr>
        <w:t>3</w:t>
      </w:r>
      <w:r w:rsidRPr="00A273E3">
        <w:rPr>
          <w:szCs w:val="24"/>
        </w:rPr>
        <w:t> </w:t>
      </w:r>
      <w:r w:rsidRPr="00600469">
        <w:rPr>
          <w:szCs w:val="24"/>
        </w:rPr>
        <w:t xml:space="preserve">mFt, a pénzügyi felhasználás </w:t>
      </w:r>
      <w:r>
        <w:rPr>
          <w:szCs w:val="24"/>
        </w:rPr>
        <w:t xml:space="preserve"> 4</w:t>
      </w:r>
      <w:r w:rsidRPr="00A273E3">
        <w:rPr>
          <w:szCs w:val="24"/>
        </w:rPr>
        <w:t> </w:t>
      </w:r>
      <w:r>
        <w:rPr>
          <w:szCs w:val="24"/>
        </w:rPr>
        <w:t>735</w:t>
      </w:r>
      <w:r w:rsidRPr="00A273E3">
        <w:rPr>
          <w:szCs w:val="24"/>
        </w:rPr>
        <w:t>,2 </w:t>
      </w:r>
      <w:r w:rsidRPr="00600469">
        <w:rPr>
          <w:szCs w:val="24"/>
        </w:rPr>
        <w:t>mFt volt.</w:t>
      </w:r>
    </w:p>
    <w:p w:rsidR="009B585A" w:rsidRPr="00CA1FFA" w:rsidRDefault="009B585A" w:rsidP="00C03F01">
      <w:pPr>
        <w:spacing w:before="60" w:after="60" w:line="360" w:lineRule="exact"/>
        <w:jc w:val="both"/>
        <w:rPr>
          <w:rFonts w:ascii="Times New Roman" w:hAnsi="Times New Roman" w:cs="Times New Roman"/>
          <w:sz w:val="24"/>
          <w:szCs w:val="24"/>
        </w:rPr>
      </w:pPr>
      <w:r w:rsidRPr="00CA1FFA">
        <w:rPr>
          <w:rFonts w:ascii="Times New Roman" w:hAnsi="Times New Roman" w:cs="Times New Roman"/>
          <w:b/>
          <w:sz w:val="24"/>
          <w:szCs w:val="24"/>
        </w:rPr>
        <w:t>A hazai pályázatokon belül</w:t>
      </w:r>
      <w:r w:rsidRPr="00CA1FFA">
        <w:rPr>
          <w:rFonts w:ascii="Times New Roman" w:hAnsi="Times New Roman" w:cs="Times New Roman"/>
          <w:sz w:val="24"/>
          <w:szCs w:val="24"/>
        </w:rPr>
        <w:t xml:space="preserve"> az NKFI Alapból elnyert pályázatok tárgyévi bevétele 5 017,1 mFt volt, amely rendelkezésre állt hazai forrásokon belül 96 %-ot képviselt.</w:t>
      </w:r>
    </w:p>
    <w:p w:rsidR="009B585A" w:rsidRPr="00CA1FFA" w:rsidRDefault="009B585A" w:rsidP="00C03F01">
      <w:pPr>
        <w:spacing w:before="60" w:after="60" w:line="360" w:lineRule="exact"/>
        <w:jc w:val="both"/>
        <w:rPr>
          <w:rFonts w:ascii="Times New Roman" w:hAnsi="Times New Roman" w:cs="Times New Roman"/>
          <w:sz w:val="24"/>
          <w:szCs w:val="24"/>
        </w:rPr>
      </w:pPr>
      <w:r w:rsidRPr="00CA1FFA">
        <w:rPr>
          <w:rFonts w:ascii="Times New Roman" w:hAnsi="Times New Roman" w:cs="Times New Roman"/>
          <w:sz w:val="24"/>
          <w:szCs w:val="24"/>
        </w:rPr>
        <w:t xml:space="preserve">Ide tartoznak a kutatási-, posztdoktori és egyéb nemzetközi relációban megvalósuló együttműködések, a nemzetközi </w:t>
      </w:r>
      <w:r w:rsidRPr="00D63866">
        <w:rPr>
          <w:rFonts w:ascii="Times New Roman" w:hAnsi="Times New Roman" w:cs="Times New Roman"/>
          <w:sz w:val="24"/>
          <w:szCs w:val="24"/>
        </w:rPr>
        <w:t xml:space="preserve">versenyképességet célzó kiválósági projektek, az ipar és a felsőoktatási kutatási együttműködés erősítését </w:t>
      </w:r>
      <w:r w:rsidRPr="004C7AFE">
        <w:rPr>
          <w:rFonts w:ascii="Times New Roman" w:hAnsi="Times New Roman" w:cs="Times New Roman"/>
          <w:sz w:val="24"/>
          <w:szCs w:val="24"/>
        </w:rPr>
        <w:t>célzó NVKP, VKE és FIEK pályázat</w:t>
      </w:r>
      <w:r>
        <w:rPr>
          <w:rFonts w:ascii="Times New Roman" w:hAnsi="Times New Roman" w:cs="Times New Roman"/>
          <w:sz w:val="24"/>
          <w:szCs w:val="24"/>
        </w:rPr>
        <w:t xml:space="preserve">, </w:t>
      </w:r>
      <w:r w:rsidRPr="004C7AFE">
        <w:rPr>
          <w:rFonts w:ascii="Times New Roman" w:hAnsi="Times New Roman" w:cs="Times New Roman"/>
          <w:sz w:val="24"/>
          <w:szCs w:val="24"/>
        </w:rPr>
        <w:t>a FIKP_2019/20, IKA_2020/2</w:t>
      </w:r>
      <w:r>
        <w:rPr>
          <w:rFonts w:ascii="Times New Roman" w:hAnsi="Times New Roman" w:cs="Times New Roman"/>
          <w:sz w:val="24"/>
          <w:szCs w:val="24"/>
        </w:rPr>
        <w:t>1</w:t>
      </w:r>
      <w:r w:rsidRPr="004C7AFE">
        <w:rPr>
          <w:rFonts w:ascii="Times New Roman" w:hAnsi="Times New Roman" w:cs="Times New Roman"/>
          <w:sz w:val="24"/>
          <w:szCs w:val="24"/>
        </w:rPr>
        <w:t>, TKP_2019/20, NKA_2020/21 konstrukció valamint a Nemzeti Laboratóriumok.</w:t>
      </w:r>
    </w:p>
    <w:p w:rsidR="009B585A" w:rsidRDefault="009B585A" w:rsidP="00C03F01">
      <w:pPr>
        <w:spacing w:before="60" w:after="60" w:line="360" w:lineRule="exact"/>
        <w:jc w:val="both"/>
        <w:rPr>
          <w:rFonts w:ascii="Times New Roman" w:hAnsi="Times New Roman" w:cs="Times New Roman"/>
          <w:sz w:val="24"/>
          <w:szCs w:val="24"/>
        </w:rPr>
      </w:pPr>
      <w:r w:rsidRPr="00CA1FFA">
        <w:rPr>
          <w:rFonts w:ascii="Times New Roman" w:hAnsi="Times New Roman" w:cs="Times New Roman"/>
          <w:sz w:val="24"/>
          <w:szCs w:val="24"/>
        </w:rPr>
        <w:t xml:space="preserve">A 2020. évben meghirdetett </w:t>
      </w:r>
      <w:r>
        <w:rPr>
          <w:rFonts w:ascii="Times New Roman" w:hAnsi="Times New Roman" w:cs="Times New Roman"/>
          <w:sz w:val="24"/>
          <w:szCs w:val="24"/>
        </w:rPr>
        <w:t>Tématerületi Kiválósági Programra 3,7</w:t>
      </w:r>
      <w:r w:rsidRPr="00CA1FFA">
        <w:rPr>
          <w:rFonts w:ascii="Times New Roman" w:hAnsi="Times New Roman" w:cs="Times New Roman"/>
          <w:sz w:val="24"/>
          <w:szCs w:val="24"/>
        </w:rPr>
        <w:t xml:space="preserve"> Mrd Ft </w:t>
      </w:r>
      <w:r>
        <w:rPr>
          <w:rFonts w:ascii="Times New Roman" w:hAnsi="Times New Roman" w:cs="Times New Roman"/>
          <w:sz w:val="24"/>
          <w:szCs w:val="24"/>
        </w:rPr>
        <w:t>támogatást nyert el az ELTE, ebből a Nemzeti Kihívások Alprogram keretében</w:t>
      </w:r>
      <w:r w:rsidRPr="00CA1FFA">
        <w:rPr>
          <w:rFonts w:ascii="Times New Roman" w:hAnsi="Times New Roman" w:cs="Times New Roman"/>
          <w:sz w:val="24"/>
          <w:szCs w:val="24"/>
        </w:rPr>
        <w:t xml:space="preserve"> 1,</w:t>
      </w:r>
      <w:r>
        <w:rPr>
          <w:rFonts w:ascii="Times New Roman" w:hAnsi="Times New Roman" w:cs="Times New Roman"/>
          <w:sz w:val="24"/>
          <w:szCs w:val="24"/>
        </w:rPr>
        <w:t>7</w:t>
      </w:r>
      <w:r w:rsidRPr="00CA1FFA">
        <w:rPr>
          <w:rFonts w:ascii="Times New Roman" w:hAnsi="Times New Roman" w:cs="Times New Roman"/>
          <w:sz w:val="24"/>
          <w:szCs w:val="24"/>
        </w:rPr>
        <w:t xml:space="preserve"> Mrd Ft támogatás</w:t>
      </w:r>
      <w:r>
        <w:rPr>
          <w:rFonts w:ascii="Times New Roman" w:hAnsi="Times New Roman" w:cs="Times New Roman"/>
          <w:sz w:val="24"/>
          <w:szCs w:val="24"/>
        </w:rPr>
        <w:t>t</w:t>
      </w:r>
      <w:r w:rsidRPr="00CA1FFA">
        <w:rPr>
          <w:rFonts w:ascii="Times New Roman" w:hAnsi="Times New Roman" w:cs="Times New Roman"/>
          <w:sz w:val="24"/>
          <w:szCs w:val="24"/>
        </w:rPr>
        <w:t>, a</w:t>
      </w:r>
      <w:r>
        <w:rPr>
          <w:rFonts w:ascii="Times New Roman" w:hAnsi="Times New Roman" w:cs="Times New Roman"/>
          <w:sz w:val="24"/>
          <w:szCs w:val="24"/>
        </w:rPr>
        <w:t>z</w:t>
      </w:r>
      <w:r w:rsidRPr="00CA1FFA">
        <w:rPr>
          <w:rFonts w:ascii="Times New Roman" w:hAnsi="Times New Roman" w:cs="Times New Roman"/>
          <w:sz w:val="24"/>
          <w:szCs w:val="24"/>
        </w:rPr>
        <w:t xml:space="preserve"> </w:t>
      </w:r>
      <w:r>
        <w:rPr>
          <w:rFonts w:ascii="Times New Roman" w:hAnsi="Times New Roman" w:cs="Times New Roman"/>
          <w:sz w:val="24"/>
          <w:szCs w:val="24"/>
        </w:rPr>
        <w:t>Intézményi Kiválósági Program keretében további 2 Mrd Ft támogatást.</w:t>
      </w:r>
    </w:p>
    <w:p w:rsidR="009B585A" w:rsidRPr="00600469" w:rsidRDefault="009B585A" w:rsidP="00C03F01">
      <w:pPr>
        <w:spacing w:before="60" w:after="60" w:line="360" w:lineRule="exact"/>
        <w:jc w:val="both"/>
        <w:rPr>
          <w:rFonts w:ascii="Times New Roman" w:hAnsi="Times New Roman" w:cs="Times New Roman"/>
          <w:sz w:val="24"/>
          <w:szCs w:val="24"/>
        </w:rPr>
      </w:pPr>
      <w:r w:rsidRPr="00CA1FFA">
        <w:rPr>
          <w:rFonts w:ascii="Times New Roman" w:hAnsi="Times New Roman" w:cs="Times New Roman"/>
          <w:sz w:val="24"/>
          <w:szCs w:val="24"/>
        </w:rPr>
        <w:t>A Felsőoktatási Intézményi</w:t>
      </w:r>
      <w:r w:rsidRPr="00B44F82">
        <w:rPr>
          <w:rFonts w:ascii="Times New Roman" w:hAnsi="Times New Roman" w:cs="Times New Roman"/>
          <w:sz w:val="24"/>
          <w:szCs w:val="24"/>
        </w:rPr>
        <w:t xml:space="preserve"> Kiválósági Program (FIKP) és a Tématerületi Kiválósági Program (TKP) 2020. évtől integrált támogatási programként, Tématerületi Kiválósági Program 2020 (TKP</w:t>
      </w:r>
      <w:r>
        <w:rPr>
          <w:rFonts w:ascii="Times New Roman" w:hAnsi="Times New Roman" w:cs="Times New Roman"/>
          <w:sz w:val="24"/>
          <w:szCs w:val="24"/>
        </w:rPr>
        <w:t>_</w:t>
      </w:r>
      <w:r w:rsidRPr="00B44F82">
        <w:rPr>
          <w:rFonts w:ascii="Times New Roman" w:hAnsi="Times New Roman" w:cs="Times New Roman"/>
          <w:sz w:val="24"/>
          <w:szCs w:val="24"/>
        </w:rPr>
        <w:t xml:space="preserve">2020) néven működik tovább, amely az NKFI Alapból kerül finanszírozásra. A legfontosabb cél továbbra is a felsőoktatási intézmények valamint a kutatóintézetek hatékony és eredményes szakmai munkájának biztosításához szükséges támogatási rendszer kialakítása </w:t>
      </w:r>
      <w:r w:rsidRPr="00B44F82">
        <w:rPr>
          <w:rFonts w:ascii="Times New Roman" w:hAnsi="Times New Roman" w:cs="Times New Roman"/>
          <w:sz w:val="24"/>
          <w:szCs w:val="24"/>
        </w:rPr>
        <w:lastRenderedPageBreak/>
        <w:t>az intézményekben folytatott KFI tevékenységek fókuszálásával.</w:t>
      </w:r>
      <w:r>
        <w:rPr>
          <w:rFonts w:ascii="Times New Roman" w:hAnsi="Times New Roman" w:cs="Times New Roman"/>
          <w:sz w:val="24"/>
          <w:szCs w:val="24"/>
        </w:rPr>
        <w:t xml:space="preserve"> </w:t>
      </w:r>
      <w:r w:rsidRPr="00600469">
        <w:rPr>
          <w:rFonts w:ascii="Times New Roman" w:hAnsi="Times New Roman" w:cs="Times New Roman"/>
          <w:sz w:val="24"/>
          <w:szCs w:val="24"/>
        </w:rPr>
        <w:t xml:space="preserve">A </w:t>
      </w:r>
      <w:r>
        <w:rPr>
          <w:rFonts w:ascii="Times New Roman" w:hAnsi="Times New Roman" w:cs="Times New Roman"/>
          <w:sz w:val="24"/>
          <w:szCs w:val="24"/>
        </w:rPr>
        <w:t>2020</w:t>
      </w:r>
      <w:r w:rsidRPr="00600469">
        <w:rPr>
          <w:rFonts w:ascii="Times New Roman" w:hAnsi="Times New Roman" w:cs="Times New Roman"/>
          <w:sz w:val="24"/>
          <w:szCs w:val="24"/>
        </w:rPr>
        <w:t xml:space="preserve">. évi kiválósági programok-, továbbá a </w:t>
      </w:r>
      <w:r>
        <w:rPr>
          <w:rFonts w:ascii="Times New Roman" w:hAnsi="Times New Roman" w:cs="Times New Roman"/>
          <w:sz w:val="24"/>
          <w:szCs w:val="24"/>
        </w:rPr>
        <w:t>2019</w:t>
      </w:r>
      <w:r w:rsidRPr="00600469">
        <w:rPr>
          <w:rFonts w:ascii="Times New Roman" w:hAnsi="Times New Roman" w:cs="Times New Roman"/>
          <w:sz w:val="24"/>
          <w:szCs w:val="24"/>
        </w:rPr>
        <w:t>.</w:t>
      </w:r>
      <w:r w:rsidRPr="00D63866">
        <w:rPr>
          <w:rFonts w:ascii="Times New Roman" w:hAnsi="Times New Roman" w:cs="Times New Roman"/>
          <w:sz w:val="24"/>
          <w:szCs w:val="24"/>
        </w:rPr>
        <w:t xml:space="preserve">  </w:t>
      </w:r>
      <w:r w:rsidRPr="00600469">
        <w:rPr>
          <w:rFonts w:ascii="Times New Roman" w:hAnsi="Times New Roman" w:cs="Times New Roman"/>
          <w:sz w:val="24"/>
          <w:szCs w:val="24"/>
        </w:rPr>
        <w:t>évi Fe</w:t>
      </w:r>
      <w:r>
        <w:rPr>
          <w:rFonts w:ascii="Times New Roman" w:hAnsi="Times New Roman" w:cs="Times New Roman"/>
          <w:sz w:val="24"/>
          <w:szCs w:val="24"/>
        </w:rPr>
        <w:t>lsőoktatási Kiválósági Program</w:t>
      </w:r>
      <w:r w:rsidRPr="00600469">
        <w:rPr>
          <w:rFonts w:ascii="Times New Roman" w:hAnsi="Times New Roman" w:cs="Times New Roman"/>
          <w:sz w:val="24"/>
          <w:szCs w:val="24"/>
        </w:rPr>
        <w:t xml:space="preserve">, amelynek megvalósítása a </w:t>
      </w:r>
      <w:r>
        <w:rPr>
          <w:rFonts w:ascii="Times New Roman" w:hAnsi="Times New Roman" w:cs="Times New Roman"/>
          <w:sz w:val="24"/>
          <w:szCs w:val="24"/>
        </w:rPr>
        <w:t>2020</w:t>
      </w:r>
      <w:r w:rsidRPr="00600469">
        <w:rPr>
          <w:rFonts w:ascii="Times New Roman" w:hAnsi="Times New Roman" w:cs="Times New Roman"/>
          <w:sz w:val="24"/>
          <w:szCs w:val="24"/>
        </w:rPr>
        <w:t xml:space="preserve">. évet is érinti, későbbiekben részletesen bemutatásra kerülnek. </w:t>
      </w:r>
    </w:p>
    <w:p w:rsidR="009B585A" w:rsidRDefault="009B585A" w:rsidP="00C03F01">
      <w:pPr>
        <w:spacing w:before="60" w:after="60" w:line="360" w:lineRule="exact"/>
        <w:jc w:val="both"/>
        <w:rPr>
          <w:rFonts w:ascii="Times New Roman" w:hAnsi="Times New Roman" w:cs="Times New Roman"/>
          <w:sz w:val="24"/>
          <w:szCs w:val="24"/>
        </w:rPr>
      </w:pPr>
      <w:r w:rsidRPr="00D63866">
        <w:rPr>
          <w:rFonts w:ascii="Times New Roman" w:hAnsi="Times New Roman" w:cs="Times New Roman"/>
          <w:sz w:val="24"/>
          <w:szCs w:val="24"/>
        </w:rPr>
        <w:t xml:space="preserve">2020. évben 4 db Nemzeti Laboratórium pályázat indult el az </w:t>
      </w:r>
      <w:r>
        <w:rPr>
          <w:rFonts w:ascii="Times New Roman" w:hAnsi="Times New Roman" w:cs="Times New Roman"/>
          <w:sz w:val="24"/>
          <w:szCs w:val="24"/>
        </w:rPr>
        <w:t xml:space="preserve">ELTE-n az </w:t>
      </w:r>
      <w:r w:rsidRPr="00D63866">
        <w:rPr>
          <w:rFonts w:ascii="Times New Roman" w:hAnsi="Times New Roman" w:cs="Times New Roman"/>
          <w:sz w:val="24"/>
          <w:szCs w:val="24"/>
        </w:rPr>
        <w:t xml:space="preserve">alábbi </w:t>
      </w:r>
      <w:r>
        <w:rPr>
          <w:rFonts w:ascii="Times New Roman" w:hAnsi="Times New Roman" w:cs="Times New Roman"/>
          <w:sz w:val="24"/>
          <w:szCs w:val="24"/>
        </w:rPr>
        <w:t xml:space="preserve">éves </w:t>
      </w:r>
      <w:r w:rsidRPr="00D63866">
        <w:rPr>
          <w:rFonts w:ascii="Times New Roman" w:hAnsi="Times New Roman" w:cs="Times New Roman"/>
          <w:sz w:val="24"/>
          <w:szCs w:val="24"/>
        </w:rPr>
        <w:t>keretösszeggel. A programok jelenleg egy éves szerződéssel, de a tervek szerint 5 éves futamidővel rendelkeznek. A Digitális örökség nemzeti laboratórium 185</w:t>
      </w:r>
      <w:r>
        <w:rPr>
          <w:rFonts w:ascii="Times New Roman" w:hAnsi="Times New Roman" w:cs="Times New Roman"/>
          <w:sz w:val="24"/>
          <w:szCs w:val="24"/>
        </w:rPr>
        <w:t>,0</w:t>
      </w:r>
      <w:r w:rsidRPr="00D63866">
        <w:rPr>
          <w:rFonts w:ascii="Times New Roman" w:hAnsi="Times New Roman" w:cs="Times New Roman"/>
          <w:sz w:val="24"/>
          <w:szCs w:val="24"/>
        </w:rPr>
        <w:t xml:space="preserve"> </w:t>
      </w:r>
      <w:r>
        <w:rPr>
          <w:rFonts w:ascii="Times New Roman" w:hAnsi="Times New Roman" w:cs="Times New Roman"/>
          <w:sz w:val="24"/>
          <w:szCs w:val="24"/>
        </w:rPr>
        <w:t>m</w:t>
      </w:r>
      <w:r w:rsidRPr="00D63866">
        <w:rPr>
          <w:rFonts w:ascii="Times New Roman" w:hAnsi="Times New Roman" w:cs="Times New Roman"/>
          <w:sz w:val="24"/>
          <w:szCs w:val="24"/>
        </w:rPr>
        <w:t>Ft, a Mesterséges intelligencia nemzeti laboratórium 100</w:t>
      </w:r>
      <w:r>
        <w:rPr>
          <w:rFonts w:ascii="Times New Roman" w:hAnsi="Times New Roman" w:cs="Times New Roman"/>
          <w:sz w:val="24"/>
          <w:szCs w:val="24"/>
        </w:rPr>
        <w:t>,0</w:t>
      </w:r>
      <w:r w:rsidRPr="00D63866">
        <w:rPr>
          <w:rFonts w:ascii="Times New Roman" w:hAnsi="Times New Roman" w:cs="Times New Roman"/>
          <w:sz w:val="24"/>
          <w:szCs w:val="24"/>
        </w:rPr>
        <w:t xml:space="preserve"> </w:t>
      </w:r>
      <w:r>
        <w:rPr>
          <w:rFonts w:ascii="Times New Roman" w:hAnsi="Times New Roman" w:cs="Times New Roman"/>
          <w:sz w:val="24"/>
          <w:szCs w:val="24"/>
        </w:rPr>
        <w:t>m</w:t>
      </w:r>
      <w:r w:rsidRPr="00D63866">
        <w:rPr>
          <w:rFonts w:ascii="Times New Roman" w:hAnsi="Times New Roman" w:cs="Times New Roman"/>
          <w:sz w:val="24"/>
          <w:szCs w:val="24"/>
        </w:rPr>
        <w:t>Ft, a Kvantuminform</w:t>
      </w:r>
      <w:r>
        <w:rPr>
          <w:rFonts w:ascii="Times New Roman" w:hAnsi="Times New Roman" w:cs="Times New Roman"/>
          <w:sz w:val="24"/>
          <w:szCs w:val="24"/>
        </w:rPr>
        <w:t>atikai Nemzeti Laboratórium 150,0</w:t>
      </w:r>
      <w:r w:rsidRPr="00D63866">
        <w:rPr>
          <w:rFonts w:ascii="Times New Roman" w:hAnsi="Times New Roman" w:cs="Times New Roman"/>
          <w:sz w:val="24"/>
          <w:szCs w:val="24"/>
        </w:rPr>
        <w:t xml:space="preserve"> </w:t>
      </w:r>
      <w:r>
        <w:rPr>
          <w:rFonts w:ascii="Times New Roman" w:hAnsi="Times New Roman" w:cs="Times New Roman"/>
          <w:sz w:val="24"/>
          <w:szCs w:val="24"/>
        </w:rPr>
        <w:t>m</w:t>
      </w:r>
      <w:r w:rsidRPr="00D63866">
        <w:rPr>
          <w:rFonts w:ascii="Times New Roman" w:hAnsi="Times New Roman" w:cs="Times New Roman"/>
          <w:sz w:val="24"/>
          <w:szCs w:val="24"/>
        </w:rPr>
        <w:t>Ft, a Társadalmi Innovációs Nemzeti Laboratórium 25</w:t>
      </w:r>
      <w:r>
        <w:rPr>
          <w:rFonts w:ascii="Times New Roman" w:hAnsi="Times New Roman" w:cs="Times New Roman"/>
          <w:sz w:val="24"/>
          <w:szCs w:val="24"/>
        </w:rPr>
        <w:t>,0 m</w:t>
      </w:r>
      <w:r w:rsidRPr="00D63866">
        <w:rPr>
          <w:rFonts w:ascii="Times New Roman" w:hAnsi="Times New Roman" w:cs="Times New Roman"/>
          <w:sz w:val="24"/>
          <w:szCs w:val="24"/>
        </w:rPr>
        <w:t>Ft támogatást nyert el</w:t>
      </w:r>
      <w:r>
        <w:rPr>
          <w:rFonts w:ascii="Times New Roman" w:hAnsi="Times New Roman" w:cs="Times New Roman"/>
          <w:sz w:val="24"/>
          <w:szCs w:val="24"/>
        </w:rPr>
        <w:t xml:space="preserve"> a 2020-2021 évekre.</w:t>
      </w:r>
    </w:p>
    <w:tbl>
      <w:tblPr>
        <w:tblW w:w="0" w:type="auto"/>
        <w:tblInd w:w="-5" w:type="dxa"/>
        <w:tblCellMar>
          <w:left w:w="70" w:type="dxa"/>
          <w:right w:w="70" w:type="dxa"/>
        </w:tblCellMar>
        <w:tblLook w:val="04A0" w:firstRow="1" w:lastRow="0" w:firstColumn="1" w:lastColumn="0" w:noHBand="0" w:noVBand="1"/>
      </w:tblPr>
      <w:tblGrid>
        <w:gridCol w:w="2485"/>
        <w:gridCol w:w="1418"/>
        <w:gridCol w:w="1417"/>
        <w:gridCol w:w="1843"/>
        <w:gridCol w:w="2054"/>
      </w:tblGrid>
      <w:tr w:rsidR="009B585A" w:rsidRPr="00E93F21" w:rsidTr="008563E8">
        <w:trPr>
          <w:trHeight w:val="1000"/>
        </w:trPr>
        <w:tc>
          <w:tcPr>
            <w:tcW w:w="2485" w:type="dxa"/>
            <w:tcBorders>
              <w:top w:val="single" w:sz="4" w:space="0" w:color="auto"/>
              <w:left w:val="single" w:sz="4" w:space="0" w:color="auto"/>
              <w:bottom w:val="single" w:sz="4" w:space="0" w:color="auto"/>
              <w:right w:val="single" w:sz="4" w:space="0" w:color="auto"/>
            </w:tcBorders>
            <w:shd w:val="clear" w:color="000000" w:fill="FFF2CC"/>
            <w:vAlign w:val="center"/>
            <w:hideMark/>
          </w:tcPr>
          <w:p w:rsidR="009B585A" w:rsidRPr="00E93F21" w:rsidRDefault="009B585A"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Pályázat neve</w:t>
            </w:r>
          </w:p>
        </w:tc>
        <w:tc>
          <w:tcPr>
            <w:tcW w:w="1418" w:type="dxa"/>
            <w:tcBorders>
              <w:top w:val="single" w:sz="4" w:space="0" w:color="auto"/>
              <w:left w:val="nil"/>
              <w:bottom w:val="single" w:sz="4" w:space="0" w:color="auto"/>
              <w:right w:val="single" w:sz="4" w:space="0" w:color="auto"/>
            </w:tcBorders>
            <w:shd w:val="clear" w:color="DDEBF7" w:fill="DDEBF7"/>
            <w:vAlign w:val="center"/>
            <w:hideMark/>
          </w:tcPr>
          <w:p w:rsidR="009B585A" w:rsidRPr="00E93F21" w:rsidRDefault="009B585A"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bevétel</w:t>
            </w:r>
            <w:r w:rsidR="00E93F21" w:rsidRPr="00E93F21">
              <w:rPr>
                <w:rFonts w:ascii="Times New Roman" w:eastAsia="Times New Roman" w:hAnsi="Times New Roman" w:cs="Times New Roman"/>
                <w:b/>
                <w:sz w:val="18"/>
                <w:szCs w:val="20"/>
                <w:lang w:eastAsia="hu-HU"/>
              </w:rPr>
              <w:t xml:space="preserve"> (Ft)</w:t>
            </w:r>
            <w:r w:rsidRPr="00E93F21">
              <w:rPr>
                <w:rFonts w:ascii="Times New Roman" w:eastAsia="Times New Roman" w:hAnsi="Times New Roman" w:cs="Times New Roman"/>
                <w:b/>
                <w:sz w:val="18"/>
                <w:szCs w:val="20"/>
                <w:lang w:eastAsia="hu-HU"/>
              </w:rPr>
              <w:t>*</w:t>
            </w:r>
            <w:r w:rsidR="00E93F21" w:rsidRPr="00E93F21">
              <w:rPr>
                <w:rFonts w:ascii="Times New Roman" w:eastAsia="Times New Roman" w:hAnsi="Times New Roman" w:cs="Times New Roman"/>
                <w:b/>
                <w:sz w:val="18"/>
                <w:szCs w:val="20"/>
                <w:lang w:eastAsia="hu-HU"/>
              </w:rPr>
              <w:t xml:space="preserve"> </w:t>
            </w:r>
          </w:p>
        </w:tc>
        <w:tc>
          <w:tcPr>
            <w:tcW w:w="1417" w:type="dxa"/>
            <w:tcBorders>
              <w:top w:val="single" w:sz="4" w:space="0" w:color="auto"/>
              <w:left w:val="nil"/>
              <w:bottom w:val="single" w:sz="4" w:space="0" w:color="auto"/>
              <w:right w:val="single" w:sz="4" w:space="0" w:color="auto"/>
            </w:tcBorders>
            <w:shd w:val="clear" w:color="DDEBF7" w:fill="DDEBF7"/>
            <w:vAlign w:val="center"/>
            <w:hideMark/>
          </w:tcPr>
          <w:p w:rsidR="009B585A" w:rsidRPr="00E93F21" w:rsidRDefault="009B585A"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kiadás</w:t>
            </w:r>
            <w:r w:rsidR="00E93F21" w:rsidRPr="00E93F21">
              <w:rPr>
                <w:rFonts w:ascii="Times New Roman" w:eastAsia="Times New Roman" w:hAnsi="Times New Roman" w:cs="Times New Roman"/>
                <w:b/>
                <w:sz w:val="18"/>
                <w:szCs w:val="20"/>
                <w:lang w:eastAsia="hu-HU"/>
              </w:rPr>
              <w:t xml:space="preserve"> (Ft)</w:t>
            </w:r>
          </w:p>
        </w:tc>
        <w:tc>
          <w:tcPr>
            <w:tcW w:w="1843" w:type="dxa"/>
            <w:tcBorders>
              <w:top w:val="single" w:sz="4" w:space="0" w:color="auto"/>
              <w:left w:val="nil"/>
              <w:bottom w:val="single" w:sz="4" w:space="0" w:color="auto"/>
              <w:right w:val="single" w:sz="4" w:space="0" w:color="auto"/>
            </w:tcBorders>
            <w:shd w:val="clear" w:color="000000" w:fill="FFF2CC"/>
            <w:vAlign w:val="center"/>
            <w:hideMark/>
          </w:tcPr>
          <w:p w:rsidR="009B585A" w:rsidRPr="00E93F21" w:rsidRDefault="009B585A"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bevétel az összes 2020. évi pályázati forrás bevételéhez képest</w:t>
            </w:r>
          </w:p>
        </w:tc>
        <w:tc>
          <w:tcPr>
            <w:tcW w:w="2054" w:type="dxa"/>
            <w:tcBorders>
              <w:top w:val="single" w:sz="4" w:space="0" w:color="auto"/>
              <w:left w:val="nil"/>
              <w:bottom w:val="single" w:sz="4" w:space="0" w:color="auto"/>
              <w:right w:val="single" w:sz="4" w:space="0" w:color="auto"/>
            </w:tcBorders>
            <w:shd w:val="clear" w:color="000000" w:fill="FFF2CC"/>
            <w:vAlign w:val="center"/>
            <w:hideMark/>
          </w:tcPr>
          <w:p w:rsidR="009B585A" w:rsidRPr="00E93F21" w:rsidRDefault="009B585A"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bevétel az 2020. évi hazai pályázati források bevételéhez képest</w:t>
            </w:r>
          </w:p>
        </w:tc>
      </w:tr>
      <w:tr w:rsidR="009B585A" w:rsidRPr="00E93F21" w:rsidTr="008563E8">
        <w:trPr>
          <w:trHeight w:val="250"/>
        </w:trPr>
        <w:tc>
          <w:tcPr>
            <w:tcW w:w="2485" w:type="dxa"/>
            <w:tcBorders>
              <w:top w:val="nil"/>
              <w:left w:val="single" w:sz="4" w:space="0" w:color="auto"/>
              <w:bottom w:val="single" w:sz="4" w:space="0" w:color="auto"/>
              <w:right w:val="single" w:sz="4" w:space="0" w:color="auto"/>
            </w:tcBorders>
            <w:shd w:val="clear" w:color="DDEBF7" w:fill="DDEBF7"/>
            <w:vAlign w:val="center"/>
            <w:hideMark/>
          </w:tcPr>
          <w:p w:rsidR="009B585A" w:rsidRPr="00E93F21" w:rsidRDefault="009B585A" w:rsidP="008563E8">
            <w:pPr>
              <w:spacing w:after="0" w:line="240" w:lineRule="auto"/>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TKP_2019/20, NKA_2020/21</w:t>
            </w:r>
          </w:p>
        </w:tc>
        <w:tc>
          <w:tcPr>
            <w:tcW w:w="1418"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516 983 662 </w:t>
            </w:r>
          </w:p>
        </w:tc>
        <w:tc>
          <w:tcPr>
            <w:tcW w:w="1417"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988 158 582 </w:t>
            </w:r>
          </w:p>
        </w:tc>
        <w:tc>
          <w:tcPr>
            <w:tcW w:w="184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5%</w:t>
            </w:r>
          </w:p>
        </w:tc>
        <w:tc>
          <w:tcPr>
            <w:tcW w:w="2054"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10%</w:t>
            </w:r>
          </w:p>
        </w:tc>
      </w:tr>
      <w:tr w:rsidR="009B585A" w:rsidRPr="00E93F21" w:rsidTr="008563E8">
        <w:trPr>
          <w:trHeight w:val="250"/>
        </w:trPr>
        <w:tc>
          <w:tcPr>
            <w:tcW w:w="2485" w:type="dxa"/>
            <w:tcBorders>
              <w:top w:val="nil"/>
              <w:left w:val="single" w:sz="4" w:space="0" w:color="auto"/>
              <w:bottom w:val="single" w:sz="4" w:space="0" w:color="auto"/>
              <w:right w:val="single" w:sz="4" w:space="0" w:color="auto"/>
            </w:tcBorders>
            <w:shd w:val="clear" w:color="DDEBF7" w:fill="DDEBF7"/>
            <w:vAlign w:val="center"/>
            <w:hideMark/>
          </w:tcPr>
          <w:p w:rsidR="009B585A" w:rsidRPr="00E93F21" w:rsidRDefault="009B585A" w:rsidP="008563E8">
            <w:pPr>
              <w:spacing w:after="0" w:line="240" w:lineRule="auto"/>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FIKP_2019/20, IKA_2020/21</w:t>
            </w:r>
          </w:p>
        </w:tc>
        <w:tc>
          <w:tcPr>
            <w:tcW w:w="1418"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705 707 948 </w:t>
            </w:r>
          </w:p>
        </w:tc>
        <w:tc>
          <w:tcPr>
            <w:tcW w:w="1417"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1 012 730 467 </w:t>
            </w:r>
          </w:p>
        </w:tc>
        <w:tc>
          <w:tcPr>
            <w:tcW w:w="184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7%</w:t>
            </w:r>
          </w:p>
        </w:tc>
        <w:tc>
          <w:tcPr>
            <w:tcW w:w="2054"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13%</w:t>
            </w:r>
          </w:p>
        </w:tc>
      </w:tr>
      <w:tr w:rsidR="009B585A" w:rsidRPr="00E93F21" w:rsidTr="008563E8">
        <w:trPr>
          <w:trHeight w:val="250"/>
        </w:trPr>
        <w:tc>
          <w:tcPr>
            <w:tcW w:w="2485" w:type="dxa"/>
            <w:tcBorders>
              <w:top w:val="single" w:sz="4" w:space="0" w:color="auto"/>
              <w:left w:val="single" w:sz="4" w:space="0" w:color="auto"/>
              <w:bottom w:val="single" w:sz="4" w:space="0" w:color="auto"/>
              <w:right w:val="single" w:sz="4" w:space="0" w:color="auto"/>
            </w:tcBorders>
            <w:shd w:val="clear" w:color="DDEBF7" w:fill="DDEBF7"/>
            <w:vAlign w:val="center"/>
            <w:hideMark/>
          </w:tcPr>
          <w:p w:rsidR="009B585A" w:rsidRPr="00E93F21" w:rsidRDefault="009B585A" w:rsidP="008563E8">
            <w:pPr>
              <w:spacing w:after="0" w:line="240" w:lineRule="auto"/>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Nemzeti Laboratóriumok</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423 797 411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2 469 643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4%</w:t>
            </w:r>
          </w:p>
        </w:tc>
        <w:tc>
          <w:tcPr>
            <w:tcW w:w="2054" w:type="dxa"/>
            <w:tcBorders>
              <w:top w:val="single" w:sz="4" w:space="0" w:color="auto"/>
              <w:left w:val="nil"/>
              <w:bottom w:val="single" w:sz="4" w:space="0" w:color="auto"/>
              <w:right w:val="single" w:sz="4" w:space="0" w:color="auto"/>
            </w:tcBorders>
            <w:shd w:val="clear" w:color="auto" w:fill="auto"/>
            <w:noWrap/>
            <w:vAlign w:val="center"/>
            <w:hideMark/>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8%</w:t>
            </w:r>
          </w:p>
        </w:tc>
      </w:tr>
      <w:tr w:rsidR="009B585A" w:rsidRPr="00E93F21" w:rsidTr="008563E8">
        <w:trPr>
          <w:trHeight w:val="250"/>
        </w:trPr>
        <w:tc>
          <w:tcPr>
            <w:tcW w:w="2485" w:type="dxa"/>
            <w:tcBorders>
              <w:top w:val="single" w:sz="4" w:space="0" w:color="auto"/>
              <w:left w:val="single" w:sz="4" w:space="0" w:color="auto"/>
              <w:bottom w:val="single" w:sz="4" w:space="0" w:color="auto"/>
              <w:right w:val="single" w:sz="4" w:space="0" w:color="auto"/>
            </w:tcBorders>
            <w:shd w:val="clear" w:color="DDEBF7" w:fill="DDEBF7"/>
          </w:tcPr>
          <w:p w:rsidR="009B585A" w:rsidRPr="00E93F21" w:rsidRDefault="009B585A" w:rsidP="008563E8">
            <w:pPr>
              <w:spacing w:after="0" w:line="240" w:lineRule="auto"/>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Egyéb NKFIH forrás</w:t>
            </w:r>
          </w:p>
        </w:tc>
        <w:tc>
          <w:tcPr>
            <w:tcW w:w="1418"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3 424 600 899 </w:t>
            </w:r>
          </w:p>
        </w:tc>
        <w:tc>
          <w:tcPr>
            <w:tcW w:w="1417"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2 450 604 817 </w:t>
            </w:r>
          </w:p>
        </w:tc>
        <w:tc>
          <w:tcPr>
            <w:tcW w:w="1843"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34%</w:t>
            </w:r>
          </w:p>
        </w:tc>
        <w:tc>
          <w:tcPr>
            <w:tcW w:w="2054"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65%</w:t>
            </w:r>
          </w:p>
        </w:tc>
      </w:tr>
      <w:tr w:rsidR="009B585A" w:rsidRPr="00E93F21" w:rsidTr="008563E8">
        <w:trPr>
          <w:trHeight w:val="250"/>
        </w:trPr>
        <w:tc>
          <w:tcPr>
            <w:tcW w:w="2485" w:type="dxa"/>
            <w:tcBorders>
              <w:top w:val="single" w:sz="4" w:space="0" w:color="auto"/>
              <w:left w:val="single" w:sz="4" w:space="0" w:color="auto"/>
              <w:bottom w:val="single" w:sz="4" w:space="0" w:color="auto"/>
              <w:right w:val="single" w:sz="4" w:space="0" w:color="auto"/>
            </w:tcBorders>
            <w:shd w:val="clear" w:color="DDEBF7" w:fill="DDEBF7"/>
          </w:tcPr>
          <w:p w:rsidR="009B585A" w:rsidRPr="00E93F21" w:rsidRDefault="009B585A" w:rsidP="008563E8">
            <w:pPr>
              <w:spacing w:after="0" w:line="240" w:lineRule="auto"/>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Összesen</w:t>
            </w:r>
          </w:p>
        </w:tc>
        <w:tc>
          <w:tcPr>
            <w:tcW w:w="1418"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5 071 089 920 </w:t>
            </w:r>
          </w:p>
        </w:tc>
        <w:tc>
          <w:tcPr>
            <w:tcW w:w="1417"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4 453 963 509 </w:t>
            </w:r>
          </w:p>
        </w:tc>
        <w:tc>
          <w:tcPr>
            <w:tcW w:w="1843"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51%</w:t>
            </w:r>
          </w:p>
        </w:tc>
        <w:tc>
          <w:tcPr>
            <w:tcW w:w="2054" w:type="dxa"/>
            <w:tcBorders>
              <w:top w:val="single" w:sz="4" w:space="0" w:color="auto"/>
              <w:left w:val="nil"/>
              <w:bottom w:val="single" w:sz="4" w:space="0" w:color="auto"/>
              <w:right w:val="single" w:sz="4" w:space="0" w:color="auto"/>
            </w:tcBorders>
            <w:shd w:val="clear" w:color="auto" w:fill="auto"/>
            <w:noWrap/>
          </w:tcPr>
          <w:p w:rsidR="009B585A" w:rsidRPr="00E93F21" w:rsidRDefault="009B585A"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96%</w:t>
            </w:r>
          </w:p>
        </w:tc>
      </w:tr>
    </w:tbl>
    <w:p w:rsidR="009B585A" w:rsidRPr="006E153C" w:rsidRDefault="009B585A" w:rsidP="00C03F01">
      <w:pPr>
        <w:spacing w:before="60" w:after="60" w:line="240" w:lineRule="auto"/>
        <w:jc w:val="both"/>
        <w:rPr>
          <w:rFonts w:ascii="Times New Roman" w:hAnsi="Times New Roman" w:cs="Times New Roman"/>
          <w:sz w:val="20"/>
          <w:szCs w:val="24"/>
        </w:rPr>
      </w:pPr>
      <w:r w:rsidRPr="007F798F">
        <w:rPr>
          <w:rFonts w:ascii="Times New Roman" w:hAnsi="Times New Roman" w:cs="Times New Roman"/>
          <w:sz w:val="20"/>
          <w:szCs w:val="24"/>
        </w:rPr>
        <w:t xml:space="preserve">* NKA_2020/21 és IKA_2020/21 pályázatokra </w:t>
      </w:r>
      <w:r>
        <w:rPr>
          <w:rFonts w:ascii="Times New Roman" w:hAnsi="Times New Roman" w:cs="Times New Roman"/>
          <w:sz w:val="20"/>
          <w:szCs w:val="24"/>
        </w:rPr>
        <w:t>53,2</w:t>
      </w:r>
      <w:r w:rsidRPr="007F798F">
        <w:rPr>
          <w:rFonts w:ascii="Times New Roman" w:hAnsi="Times New Roman" w:cs="Times New Roman"/>
          <w:sz w:val="20"/>
          <w:szCs w:val="24"/>
        </w:rPr>
        <w:t xml:space="preserve">% </w:t>
      </w:r>
      <w:r>
        <w:rPr>
          <w:rFonts w:ascii="Times New Roman" w:hAnsi="Times New Roman" w:cs="Times New Roman"/>
          <w:sz w:val="20"/>
          <w:szCs w:val="24"/>
        </w:rPr>
        <w:t xml:space="preserve">ill. 56,7% </w:t>
      </w:r>
      <w:r w:rsidRPr="007F798F">
        <w:rPr>
          <w:rFonts w:ascii="Times New Roman" w:hAnsi="Times New Roman" w:cs="Times New Roman"/>
          <w:sz w:val="20"/>
          <w:szCs w:val="24"/>
        </w:rPr>
        <w:t>előleget érkezett a 2020. évre; a fennmaradó támogatás 2021-ben érkezik</w:t>
      </w:r>
    </w:p>
    <w:p w:rsidR="00301A06" w:rsidRDefault="00301A06" w:rsidP="00C03F01">
      <w:pPr>
        <w:spacing w:before="60" w:after="60" w:line="360" w:lineRule="exact"/>
        <w:jc w:val="both"/>
        <w:rPr>
          <w:rFonts w:ascii="Times New Roman" w:hAnsi="Times New Roman" w:cs="Times New Roman"/>
          <w:sz w:val="24"/>
          <w:szCs w:val="24"/>
        </w:rPr>
      </w:pPr>
    </w:p>
    <w:p w:rsidR="009B585A" w:rsidRPr="00D63866" w:rsidRDefault="009B585A" w:rsidP="00C03F01">
      <w:pPr>
        <w:spacing w:before="60" w:after="60" w:line="360" w:lineRule="exact"/>
        <w:jc w:val="both"/>
        <w:rPr>
          <w:rFonts w:ascii="Times New Roman" w:hAnsi="Times New Roman" w:cs="Times New Roman"/>
          <w:sz w:val="24"/>
          <w:szCs w:val="24"/>
        </w:rPr>
      </w:pPr>
      <w:r w:rsidRPr="00D63866">
        <w:rPr>
          <w:rFonts w:ascii="Times New Roman" w:hAnsi="Times New Roman" w:cs="Times New Roman"/>
          <w:sz w:val="24"/>
          <w:szCs w:val="24"/>
        </w:rPr>
        <w:t>A fennmaradó 4 %</w:t>
      </w:r>
      <w:r>
        <w:rPr>
          <w:rFonts w:ascii="Times New Roman" w:hAnsi="Times New Roman" w:cs="Times New Roman"/>
          <w:sz w:val="24"/>
          <w:szCs w:val="24"/>
        </w:rPr>
        <w:t xml:space="preserve"> (226</w:t>
      </w:r>
      <w:r w:rsidRPr="00CA1FFA">
        <w:rPr>
          <w:rFonts w:ascii="Times New Roman" w:hAnsi="Times New Roman" w:cs="Times New Roman"/>
          <w:sz w:val="24"/>
          <w:szCs w:val="24"/>
        </w:rPr>
        <w:t>,</w:t>
      </w:r>
      <w:r>
        <w:rPr>
          <w:rFonts w:ascii="Times New Roman" w:hAnsi="Times New Roman" w:cs="Times New Roman"/>
          <w:sz w:val="24"/>
          <w:szCs w:val="24"/>
        </w:rPr>
        <w:t>2</w:t>
      </w:r>
      <w:r w:rsidRPr="00CA1FFA">
        <w:rPr>
          <w:rFonts w:ascii="Times New Roman" w:hAnsi="Times New Roman" w:cs="Times New Roman"/>
          <w:sz w:val="24"/>
          <w:szCs w:val="24"/>
        </w:rPr>
        <w:t> mFt</w:t>
      </w:r>
      <w:r>
        <w:rPr>
          <w:rFonts w:ascii="Times New Roman" w:hAnsi="Times New Roman" w:cs="Times New Roman"/>
          <w:sz w:val="24"/>
          <w:szCs w:val="24"/>
        </w:rPr>
        <w:t>) a</w:t>
      </w:r>
      <w:r w:rsidRPr="00D63866">
        <w:rPr>
          <w:rFonts w:ascii="Times New Roman" w:hAnsi="Times New Roman" w:cs="Times New Roman"/>
          <w:sz w:val="24"/>
          <w:szCs w:val="24"/>
        </w:rPr>
        <w:t xml:space="preserve"> hazai pályázati bevételből az oktatási tevékenységhez kapcsolódik (Nemzeti Tehetség Program, a Nemzeti Kulturális Alap, a Bethlen Gábor Alap és egyéb fejezeti kezelésű célelőirányzatok támogatásait jelenti.).</w:t>
      </w:r>
    </w:p>
    <w:p w:rsidR="009B585A" w:rsidRPr="00CA1FFA" w:rsidRDefault="009B585A" w:rsidP="00C03F01">
      <w:pPr>
        <w:spacing w:before="60" w:after="60" w:line="360" w:lineRule="exact"/>
        <w:jc w:val="both"/>
        <w:rPr>
          <w:rFonts w:ascii="Times New Roman" w:hAnsi="Times New Roman" w:cs="Times New Roman"/>
          <w:sz w:val="24"/>
          <w:szCs w:val="24"/>
        </w:rPr>
      </w:pPr>
      <w:r w:rsidRPr="00CA1FFA">
        <w:rPr>
          <w:rFonts w:ascii="Times New Roman" w:hAnsi="Times New Roman" w:cs="Times New Roman"/>
          <w:b/>
          <w:sz w:val="24"/>
          <w:szCs w:val="24"/>
        </w:rPr>
        <w:t xml:space="preserve">A </w:t>
      </w:r>
      <w:r w:rsidRPr="007718AE">
        <w:rPr>
          <w:rFonts w:ascii="Times New Roman" w:hAnsi="Times New Roman" w:cs="Times New Roman"/>
          <w:b/>
          <w:sz w:val="24"/>
          <w:szCs w:val="24"/>
        </w:rPr>
        <w:t>nemzetközi</w:t>
      </w:r>
      <w:r w:rsidRPr="00CA1FFA">
        <w:rPr>
          <w:rFonts w:ascii="Times New Roman" w:hAnsi="Times New Roman" w:cs="Times New Roman"/>
          <w:b/>
          <w:sz w:val="24"/>
          <w:szCs w:val="24"/>
        </w:rPr>
        <w:t xml:space="preserve"> </w:t>
      </w:r>
      <w:r>
        <w:rPr>
          <w:rFonts w:ascii="Times New Roman" w:hAnsi="Times New Roman" w:cs="Times New Roman"/>
          <w:b/>
          <w:sz w:val="24"/>
          <w:szCs w:val="24"/>
        </w:rPr>
        <w:t xml:space="preserve">forrásokon </w:t>
      </w:r>
      <w:r w:rsidRPr="00CA1FFA">
        <w:rPr>
          <w:rFonts w:ascii="Times New Roman" w:hAnsi="Times New Roman" w:cs="Times New Roman"/>
          <w:b/>
          <w:sz w:val="24"/>
          <w:szCs w:val="24"/>
        </w:rPr>
        <w:t>belül</w:t>
      </w:r>
      <w:r w:rsidRPr="00CA1FFA">
        <w:rPr>
          <w:rFonts w:ascii="Times New Roman" w:hAnsi="Times New Roman" w:cs="Times New Roman"/>
          <w:sz w:val="24"/>
          <w:szCs w:val="24"/>
        </w:rPr>
        <w:t xml:space="preserve"> az </w:t>
      </w:r>
      <w:r>
        <w:rPr>
          <w:rFonts w:ascii="Times New Roman" w:hAnsi="Times New Roman" w:cs="Times New Roman"/>
          <w:sz w:val="24"/>
          <w:szCs w:val="24"/>
        </w:rPr>
        <w:t>Operatív programok</w:t>
      </w:r>
      <w:r w:rsidRPr="00CA1FFA">
        <w:rPr>
          <w:rFonts w:ascii="Times New Roman" w:hAnsi="Times New Roman" w:cs="Times New Roman"/>
          <w:sz w:val="24"/>
          <w:szCs w:val="24"/>
        </w:rPr>
        <w:t xml:space="preserve"> elnyert tárgyévi bevétele </w:t>
      </w:r>
      <w:r>
        <w:rPr>
          <w:rFonts w:ascii="Times New Roman" w:hAnsi="Times New Roman" w:cs="Times New Roman"/>
          <w:sz w:val="24"/>
          <w:szCs w:val="24"/>
        </w:rPr>
        <w:t>2</w:t>
      </w:r>
      <w:r w:rsidRPr="00CA1FFA">
        <w:rPr>
          <w:rFonts w:ascii="Times New Roman" w:hAnsi="Times New Roman" w:cs="Times New Roman"/>
          <w:sz w:val="24"/>
          <w:szCs w:val="24"/>
        </w:rPr>
        <w:t> 0</w:t>
      </w:r>
      <w:r>
        <w:rPr>
          <w:rFonts w:ascii="Times New Roman" w:hAnsi="Times New Roman" w:cs="Times New Roman"/>
          <w:sz w:val="24"/>
          <w:szCs w:val="24"/>
        </w:rPr>
        <w:t>35</w:t>
      </w:r>
      <w:r w:rsidRPr="00CA1FFA">
        <w:rPr>
          <w:rFonts w:ascii="Times New Roman" w:hAnsi="Times New Roman" w:cs="Times New Roman"/>
          <w:sz w:val="24"/>
          <w:szCs w:val="24"/>
        </w:rPr>
        <w:t>,</w:t>
      </w:r>
      <w:r>
        <w:rPr>
          <w:rFonts w:ascii="Times New Roman" w:hAnsi="Times New Roman" w:cs="Times New Roman"/>
          <w:sz w:val="24"/>
          <w:szCs w:val="24"/>
        </w:rPr>
        <w:t>5</w:t>
      </w:r>
      <w:r w:rsidRPr="00CA1FFA">
        <w:rPr>
          <w:rFonts w:ascii="Times New Roman" w:hAnsi="Times New Roman" w:cs="Times New Roman"/>
          <w:sz w:val="24"/>
          <w:szCs w:val="24"/>
        </w:rPr>
        <w:t> mFt volt, amely rendelkezésre állt hazai forrásokon belül 96 </w:t>
      </w:r>
      <w:r>
        <w:rPr>
          <w:rFonts w:ascii="Times New Roman" w:hAnsi="Times New Roman" w:cs="Times New Roman"/>
          <w:sz w:val="24"/>
          <w:szCs w:val="24"/>
        </w:rPr>
        <w:t>%-ot képviselt az alábbi megbontásban:</w:t>
      </w:r>
    </w:p>
    <w:p w:rsidR="009B585A" w:rsidRPr="00C03F01" w:rsidRDefault="009B585A" w:rsidP="00E93F21">
      <w:pPr>
        <w:pStyle w:val="Listaszerbekezds"/>
        <w:numPr>
          <w:ilvl w:val="0"/>
          <w:numId w:val="37"/>
        </w:numPr>
        <w:spacing w:before="60" w:after="60" w:line="360" w:lineRule="exact"/>
        <w:ind w:left="357" w:hanging="357"/>
        <w:rPr>
          <w:szCs w:val="24"/>
        </w:rPr>
      </w:pPr>
      <w:r w:rsidRPr="00E065E6">
        <w:rPr>
          <w:szCs w:val="24"/>
        </w:rPr>
        <w:t>a GINOP, VEKOP kutatási és kutatási infrastruktúra fejlesztési projektjeire korábbi években megítélt támogatások keretein belül további támogatási előlegként és utófinanszírozásként 77</w:t>
      </w:r>
      <w:r>
        <w:rPr>
          <w:szCs w:val="24"/>
        </w:rPr>
        <w:t>,0</w:t>
      </w:r>
      <w:r w:rsidRPr="00E065E6">
        <w:rPr>
          <w:szCs w:val="24"/>
        </w:rPr>
        <w:t xml:space="preserve"> mFt,</w:t>
      </w:r>
    </w:p>
    <w:p w:rsidR="009B585A" w:rsidRPr="00C03F01" w:rsidRDefault="009B585A" w:rsidP="00E93F21">
      <w:pPr>
        <w:pStyle w:val="Listaszerbekezds"/>
        <w:numPr>
          <w:ilvl w:val="0"/>
          <w:numId w:val="37"/>
        </w:numPr>
        <w:spacing w:before="60" w:after="60" w:line="360" w:lineRule="exact"/>
        <w:ind w:left="357" w:hanging="357"/>
        <w:rPr>
          <w:szCs w:val="24"/>
        </w:rPr>
      </w:pPr>
      <w:r w:rsidRPr="00E065E6">
        <w:rPr>
          <w:szCs w:val="24"/>
        </w:rPr>
        <w:t>az EFOP konstrukciókra a korábbi években megítélt támogatások keretein belül további támogatási előlegként és utófinanszírozásként 1 510,1 mFt,</w:t>
      </w:r>
    </w:p>
    <w:p w:rsidR="009B585A" w:rsidRPr="00AA1E1A" w:rsidRDefault="009B585A" w:rsidP="00E93F21">
      <w:pPr>
        <w:pStyle w:val="Listaszerbekezds"/>
        <w:numPr>
          <w:ilvl w:val="0"/>
          <w:numId w:val="37"/>
        </w:numPr>
        <w:spacing w:before="60" w:after="60" w:line="360" w:lineRule="exact"/>
        <w:ind w:left="357" w:hanging="357"/>
        <w:rPr>
          <w:szCs w:val="24"/>
        </w:rPr>
      </w:pPr>
      <w:r w:rsidRPr="007718AE">
        <w:rPr>
          <w:szCs w:val="24"/>
        </w:rPr>
        <w:t xml:space="preserve">a KEHOP konstrukciókra a </w:t>
      </w:r>
      <w:r w:rsidRPr="00AA1E1A">
        <w:rPr>
          <w:szCs w:val="24"/>
        </w:rPr>
        <w:t>korábbi években megítélt támogatások keretein belül további támogatási előlegként és utófinanszírozásként 448,3 mFt érkezett.</w:t>
      </w:r>
    </w:p>
    <w:p w:rsidR="00C03F01" w:rsidRDefault="009B585A" w:rsidP="00C03F01">
      <w:pPr>
        <w:pStyle w:val="Listaszerbekezds"/>
        <w:numPr>
          <w:ilvl w:val="0"/>
          <w:numId w:val="37"/>
        </w:numPr>
        <w:spacing w:before="60" w:after="60" w:line="360" w:lineRule="exact"/>
        <w:ind w:left="357" w:hanging="357"/>
        <w:rPr>
          <w:szCs w:val="24"/>
        </w:rPr>
      </w:pPr>
      <w:r w:rsidRPr="00C03F01">
        <w:rPr>
          <w:szCs w:val="24"/>
        </w:rPr>
        <w:t>A közvetlen uniós pályázatok közül a Horizon 2020 kutatás-fejlesztési programok megvalósítására 967,8 mFt, képzési-oktatási célú pályázati forrásként az ERASMUS pályázatokhoz kapcsolódó hallgatói, oktatató mobilitási tevékenységre 1 251,0 mFt érkezett.  Egyéb képzési nemzetközi pályázati támogatások összege 226,2 mFt volt.</w:t>
      </w:r>
    </w:p>
    <w:p w:rsidR="00E93F21" w:rsidRPr="00E93F21" w:rsidRDefault="00E93F21" w:rsidP="00E93F21">
      <w:pPr>
        <w:pStyle w:val="Listaszerbekezds"/>
        <w:spacing w:before="60" w:after="60" w:line="360" w:lineRule="exact"/>
        <w:ind w:left="357"/>
        <w:rPr>
          <w:szCs w:val="24"/>
        </w:rPr>
      </w:pPr>
    </w:p>
    <w:p w:rsidR="008563E8" w:rsidRDefault="008563E8" w:rsidP="00C03F01">
      <w:pPr>
        <w:spacing w:before="60" w:after="60" w:line="360" w:lineRule="exact"/>
        <w:jc w:val="both"/>
        <w:rPr>
          <w:rFonts w:ascii="Times New Roman" w:hAnsi="Times New Roman" w:cs="Times New Roman"/>
          <w:sz w:val="24"/>
          <w:szCs w:val="24"/>
        </w:rPr>
      </w:pPr>
    </w:p>
    <w:p w:rsidR="009B585A" w:rsidRDefault="009B585A" w:rsidP="00C03F01">
      <w:pPr>
        <w:spacing w:before="60" w:after="60" w:line="360" w:lineRule="exact"/>
        <w:jc w:val="both"/>
        <w:rPr>
          <w:rFonts w:ascii="Times New Roman" w:hAnsi="Times New Roman" w:cs="Times New Roman"/>
          <w:sz w:val="24"/>
          <w:szCs w:val="24"/>
        </w:rPr>
      </w:pPr>
      <w:r w:rsidRPr="00592606">
        <w:rPr>
          <w:rFonts w:ascii="Times New Roman" w:hAnsi="Times New Roman" w:cs="Times New Roman"/>
          <w:sz w:val="24"/>
          <w:szCs w:val="24"/>
        </w:rPr>
        <w:lastRenderedPageBreak/>
        <w:t xml:space="preserve">A források </w:t>
      </w:r>
      <w:r>
        <w:rPr>
          <w:rFonts w:ascii="Times New Roman" w:hAnsi="Times New Roman" w:cs="Times New Roman"/>
          <w:sz w:val="24"/>
          <w:szCs w:val="24"/>
        </w:rPr>
        <w:t>bevételét és kiadását</w:t>
      </w:r>
      <w:r w:rsidRPr="00592606">
        <w:rPr>
          <w:rFonts w:ascii="Times New Roman" w:hAnsi="Times New Roman" w:cs="Times New Roman"/>
          <w:sz w:val="24"/>
          <w:szCs w:val="24"/>
        </w:rPr>
        <w:t xml:space="preserve"> </w:t>
      </w:r>
      <w:r w:rsidR="00845151">
        <w:rPr>
          <w:rFonts w:ascii="Times New Roman" w:hAnsi="Times New Roman" w:cs="Times New Roman"/>
          <w:sz w:val="24"/>
          <w:szCs w:val="24"/>
        </w:rPr>
        <w:t>szervezeti egységenkénti megbontása:</w:t>
      </w:r>
      <w:r>
        <w:rPr>
          <w:rFonts w:ascii="Times New Roman" w:hAnsi="Times New Roman" w:cs="Times New Roman"/>
          <w:sz w:val="24"/>
          <w:szCs w:val="24"/>
        </w:rPr>
        <w:t xml:space="preserve"> </w:t>
      </w:r>
    </w:p>
    <w:tbl>
      <w:tblPr>
        <w:tblW w:w="0" w:type="auto"/>
        <w:tblCellMar>
          <w:left w:w="70" w:type="dxa"/>
          <w:right w:w="70" w:type="dxa"/>
        </w:tblCellMar>
        <w:tblLook w:val="04A0" w:firstRow="1" w:lastRow="0" w:firstColumn="1" w:lastColumn="0" w:noHBand="0" w:noVBand="1"/>
      </w:tblPr>
      <w:tblGrid>
        <w:gridCol w:w="5807"/>
        <w:gridCol w:w="1743"/>
        <w:gridCol w:w="1662"/>
      </w:tblGrid>
      <w:tr w:rsidR="009B585A" w:rsidRPr="00E93F21" w:rsidTr="009B585A">
        <w:trPr>
          <w:trHeight w:val="1000"/>
        </w:trPr>
        <w:tc>
          <w:tcPr>
            <w:tcW w:w="5807" w:type="dxa"/>
            <w:tcBorders>
              <w:top w:val="single" w:sz="4" w:space="0" w:color="auto"/>
              <w:left w:val="single" w:sz="4" w:space="0" w:color="auto"/>
              <w:bottom w:val="single" w:sz="4" w:space="0" w:color="auto"/>
              <w:right w:val="single" w:sz="4" w:space="0" w:color="auto"/>
            </w:tcBorders>
            <w:shd w:val="clear" w:color="auto" w:fill="FFF2CC"/>
            <w:vAlign w:val="center"/>
            <w:hideMark/>
          </w:tcPr>
          <w:p w:rsidR="009B585A" w:rsidRPr="00E93F21" w:rsidRDefault="009B585A" w:rsidP="00301A06">
            <w:pPr>
              <w:spacing w:before="60" w:after="6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Kar</w:t>
            </w:r>
          </w:p>
          <w:p w:rsidR="009B585A" w:rsidRPr="00E93F21" w:rsidRDefault="009B585A" w:rsidP="00301A06">
            <w:pPr>
              <w:spacing w:before="60" w:after="60" w:line="240" w:lineRule="auto"/>
              <w:jc w:val="center"/>
              <w:rPr>
                <w:rFonts w:ascii="Times New Roman" w:eastAsia="Times New Roman" w:hAnsi="Times New Roman" w:cs="Times New Roman"/>
                <w:b/>
                <w:sz w:val="18"/>
                <w:szCs w:val="20"/>
                <w:lang w:eastAsia="hu-HU"/>
              </w:rPr>
            </w:pPr>
          </w:p>
        </w:tc>
        <w:tc>
          <w:tcPr>
            <w:tcW w:w="1743" w:type="dxa"/>
            <w:tcBorders>
              <w:top w:val="single" w:sz="4" w:space="0" w:color="auto"/>
              <w:left w:val="nil"/>
              <w:bottom w:val="single" w:sz="4" w:space="0" w:color="auto"/>
              <w:right w:val="single" w:sz="4" w:space="0" w:color="auto"/>
            </w:tcBorders>
            <w:shd w:val="clear" w:color="auto" w:fill="DDEBF7"/>
            <w:vAlign w:val="center"/>
            <w:hideMark/>
          </w:tcPr>
          <w:p w:rsidR="009B585A" w:rsidRPr="00E93F21" w:rsidRDefault="009B585A" w:rsidP="00301A06">
            <w:pPr>
              <w:spacing w:before="60" w:after="6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w:t>
            </w:r>
            <w:r w:rsidRPr="00E93F21">
              <w:rPr>
                <w:rFonts w:ascii="Times New Roman" w:eastAsia="Times New Roman" w:hAnsi="Times New Roman" w:cs="Times New Roman"/>
                <w:b/>
                <w:sz w:val="18"/>
                <w:szCs w:val="20"/>
                <w:lang w:eastAsia="hu-HU"/>
              </w:rPr>
              <w:br/>
              <w:t>pályázati bevétel</w:t>
            </w:r>
          </w:p>
        </w:tc>
        <w:tc>
          <w:tcPr>
            <w:tcW w:w="0" w:type="auto"/>
            <w:tcBorders>
              <w:top w:val="single" w:sz="4" w:space="0" w:color="auto"/>
              <w:left w:val="nil"/>
              <w:bottom w:val="single" w:sz="4" w:space="0" w:color="auto"/>
              <w:right w:val="single" w:sz="4" w:space="0" w:color="auto"/>
            </w:tcBorders>
            <w:shd w:val="clear" w:color="DDEBF7" w:fill="DDEBF7"/>
            <w:vAlign w:val="center"/>
            <w:hideMark/>
          </w:tcPr>
          <w:p w:rsidR="009B585A" w:rsidRPr="00E93F21" w:rsidRDefault="009B585A" w:rsidP="00301A06">
            <w:pPr>
              <w:spacing w:before="60" w:after="6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pályázati kiadás</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hideMark/>
          </w:tcPr>
          <w:p w:rsidR="009B585A" w:rsidRPr="00301A06" w:rsidRDefault="00301A06" w:rsidP="00301A06">
            <w:pPr>
              <w:spacing w:before="60" w:after="60" w:line="240" w:lineRule="auto"/>
              <w:rPr>
                <w:rFonts w:ascii="Times New Roman" w:eastAsia="Times New Roman" w:hAnsi="Times New Roman" w:cs="Times New Roman"/>
                <w:b/>
                <w:sz w:val="18"/>
                <w:szCs w:val="20"/>
                <w:lang w:eastAsia="hu-HU"/>
              </w:rPr>
            </w:pPr>
            <w:r>
              <w:rPr>
                <w:rFonts w:ascii="Times New Roman" w:hAnsi="Times New Roman" w:cs="Times New Roman"/>
                <w:b/>
                <w:sz w:val="18"/>
                <w:szCs w:val="20"/>
              </w:rPr>
              <w:t>Á</w:t>
            </w:r>
            <w:r w:rsidR="009B585A" w:rsidRPr="00301A06">
              <w:rPr>
                <w:rFonts w:ascii="Times New Roman" w:hAnsi="Times New Roman" w:cs="Times New Roman"/>
                <w:b/>
                <w:sz w:val="18"/>
                <w:szCs w:val="20"/>
              </w:rPr>
              <w:t>llam- és Jogtudományi Kar</w:t>
            </w:r>
          </w:p>
        </w:tc>
        <w:tc>
          <w:tcPr>
            <w:tcW w:w="1743" w:type="dxa"/>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 xml:space="preserve">49 577 018 </w:t>
            </w:r>
            <w:r w:rsidRPr="00E93F21">
              <w:rPr>
                <w:rFonts w:ascii="Times New Roman" w:eastAsia="Times New Roman" w:hAnsi="Times New Roman" w:cs="Times New Roman"/>
                <w:sz w:val="18"/>
                <w:szCs w:val="20"/>
                <w:lang w:eastAsia="hu-HU"/>
              </w:rPr>
              <w:t>Ft</w:t>
            </w:r>
          </w:p>
        </w:tc>
        <w:tc>
          <w:tcPr>
            <w:tcW w:w="0" w:type="auto"/>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64 048 642</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hideMark/>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Bárczi Gusztáv Gyógypedagógiai Kar</w:t>
            </w:r>
          </w:p>
        </w:tc>
        <w:tc>
          <w:tcPr>
            <w:tcW w:w="1743" w:type="dxa"/>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 xml:space="preserve">59 385 969 </w:t>
            </w:r>
            <w:r w:rsidRPr="00E93F21">
              <w:rPr>
                <w:rFonts w:ascii="Times New Roman" w:eastAsia="Times New Roman" w:hAnsi="Times New Roman" w:cs="Times New Roman"/>
                <w:sz w:val="18"/>
                <w:szCs w:val="20"/>
                <w:lang w:eastAsia="hu-HU"/>
              </w:rPr>
              <w:t>Ft</w:t>
            </w:r>
          </w:p>
        </w:tc>
        <w:tc>
          <w:tcPr>
            <w:tcW w:w="0" w:type="auto"/>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139 010 745</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hideMark/>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Bölcsészettudományi Kar</w:t>
            </w:r>
          </w:p>
        </w:tc>
        <w:tc>
          <w:tcPr>
            <w:tcW w:w="1743" w:type="dxa"/>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1 137 320 761</w:t>
            </w:r>
            <w:r w:rsidRPr="00E93F21">
              <w:rPr>
                <w:rFonts w:ascii="Times New Roman" w:eastAsia="Times New Roman" w:hAnsi="Times New Roman" w:cs="Times New Roman"/>
                <w:sz w:val="18"/>
                <w:szCs w:val="20"/>
                <w:lang w:eastAsia="hu-HU"/>
              </w:rPr>
              <w:t xml:space="preserve"> Ft</w:t>
            </w:r>
          </w:p>
        </w:tc>
        <w:tc>
          <w:tcPr>
            <w:tcW w:w="0" w:type="auto"/>
            <w:tcBorders>
              <w:top w:val="nil"/>
              <w:left w:val="nil"/>
              <w:bottom w:val="single" w:sz="4" w:space="0" w:color="auto"/>
              <w:right w:val="single" w:sz="4" w:space="0" w:color="auto"/>
            </w:tcBorders>
            <w:shd w:val="clear" w:color="auto" w:fill="auto"/>
            <w:noWrap/>
            <w:hideMark/>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960 975 421</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Informatikai Kar</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1 702 790 212</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1 446 865 378</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Pedagógiai és Pszichológiai Kar</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1 025 281 738</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679 323 081</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Társadalomtudományi Kar</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127 285 837</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158 869 254</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Természettudományi Kar</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3 692 667 545</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4 087 115 978</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Tanító- és Óvóképző Kar</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9 637 377</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27 920 760</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hAnsi="Times New Roman" w:cs="Times New Roman"/>
                <w:b/>
                <w:sz w:val="18"/>
                <w:szCs w:val="20"/>
              </w:rPr>
              <w:t>Egyéb nem kari szer</w:t>
            </w:r>
            <w:r w:rsidR="008563E8" w:rsidRPr="00301A06">
              <w:rPr>
                <w:rFonts w:ascii="Times New Roman" w:hAnsi="Times New Roman" w:cs="Times New Roman"/>
                <w:b/>
                <w:sz w:val="18"/>
                <w:szCs w:val="20"/>
              </w:rPr>
              <w:t>vezeti egységek (</w:t>
            </w:r>
            <w:r w:rsidRPr="00301A06">
              <w:rPr>
                <w:rFonts w:ascii="Times New Roman" w:hAnsi="Times New Roman" w:cs="Times New Roman"/>
                <w:b/>
                <w:sz w:val="18"/>
                <w:szCs w:val="20"/>
              </w:rPr>
              <w:t>ERASMUS</w:t>
            </w:r>
            <w:r w:rsidR="008563E8" w:rsidRPr="00301A06">
              <w:rPr>
                <w:rFonts w:ascii="Times New Roman" w:hAnsi="Times New Roman" w:cs="Times New Roman"/>
                <w:b/>
                <w:sz w:val="18"/>
                <w:szCs w:val="20"/>
              </w:rPr>
              <w:t xml:space="preserve"> programokkal)</w:t>
            </w:r>
          </w:p>
        </w:tc>
        <w:tc>
          <w:tcPr>
            <w:tcW w:w="1743" w:type="dxa"/>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2 129 599 126</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c>
          <w:tcPr>
            <w:tcW w:w="0" w:type="auto"/>
            <w:tcBorders>
              <w:top w:val="nil"/>
              <w:left w:val="nil"/>
              <w:bottom w:val="single" w:sz="4" w:space="0" w:color="auto"/>
              <w:right w:val="single" w:sz="4" w:space="0" w:color="auto"/>
            </w:tcBorders>
            <w:shd w:val="clear" w:color="auto" w:fill="auto"/>
            <w:noWrap/>
          </w:tcPr>
          <w:p w:rsidR="009B585A" w:rsidRPr="00E93F21" w:rsidRDefault="009B585A" w:rsidP="00301A06">
            <w:pPr>
              <w:spacing w:before="60" w:after="60" w:line="240" w:lineRule="auto"/>
              <w:jc w:val="right"/>
              <w:rPr>
                <w:rFonts w:ascii="Times New Roman" w:eastAsia="Times New Roman" w:hAnsi="Times New Roman" w:cs="Times New Roman"/>
                <w:sz w:val="18"/>
                <w:szCs w:val="20"/>
                <w:lang w:eastAsia="hu-HU"/>
              </w:rPr>
            </w:pPr>
            <w:r w:rsidRPr="00E93F21">
              <w:rPr>
                <w:rFonts w:ascii="Times New Roman" w:hAnsi="Times New Roman" w:cs="Times New Roman"/>
                <w:sz w:val="18"/>
                <w:szCs w:val="20"/>
              </w:rPr>
              <w:t>1 728 117 703</w:t>
            </w:r>
            <w:r w:rsidRPr="00E93F21">
              <w:rPr>
                <w:rFonts w:ascii="Times New Roman" w:eastAsia="Times New Roman" w:hAnsi="Times New Roman" w:cs="Times New Roman"/>
                <w:sz w:val="18"/>
                <w:szCs w:val="20"/>
                <w:lang w:eastAsia="hu-HU"/>
              </w:rPr>
              <w:t xml:space="preserve"> Ft</w:t>
            </w:r>
            <w:r w:rsidRPr="00E93F21">
              <w:rPr>
                <w:rFonts w:ascii="Times New Roman" w:hAnsi="Times New Roman" w:cs="Times New Roman"/>
                <w:sz w:val="18"/>
                <w:szCs w:val="20"/>
              </w:rPr>
              <w:t xml:space="preserve">    </w:t>
            </w:r>
          </w:p>
        </w:tc>
      </w:tr>
      <w:tr w:rsidR="009B585A" w:rsidRPr="00E93F21" w:rsidTr="00301A06">
        <w:trPr>
          <w:trHeight w:val="250"/>
        </w:trPr>
        <w:tc>
          <w:tcPr>
            <w:tcW w:w="5807" w:type="dxa"/>
            <w:tcBorders>
              <w:top w:val="nil"/>
              <w:left w:val="single" w:sz="4" w:space="0" w:color="auto"/>
              <w:bottom w:val="single" w:sz="4" w:space="0" w:color="auto"/>
              <w:right w:val="single" w:sz="4" w:space="0" w:color="auto"/>
            </w:tcBorders>
            <w:shd w:val="clear" w:color="DDEBF7" w:fill="DDEBF7"/>
            <w:vAlign w:val="center"/>
            <w:hideMark/>
          </w:tcPr>
          <w:p w:rsidR="009B585A" w:rsidRPr="00301A06" w:rsidRDefault="009B585A" w:rsidP="00301A06">
            <w:pPr>
              <w:spacing w:before="60" w:after="60" w:line="240" w:lineRule="auto"/>
              <w:rPr>
                <w:rFonts w:ascii="Times New Roman" w:eastAsia="Times New Roman" w:hAnsi="Times New Roman" w:cs="Times New Roman"/>
                <w:b/>
                <w:sz w:val="18"/>
                <w:szCs w:val="20"/>
                <w:lang w:eastAsia="hu-HU"/>
              </w:rPr>
            </w:pPr>
            <w:r w:rsidRPr="00301A06">
              <w:rPr>
                <w:rFonts w:ascii="Times New Roman" w:eastAsia="Times New Roman" w:hAnsi="Times New Roman" w:cs="Times New Roman"/>
                <w:b/>
                <w:sz w:val="18"/>
                <w:szCs w:val="20"/>
                <w:lang w:eastAsia="hu-HU"/>
              </w:rPr>
              <w:t>Végösszeg</w:t>
            </w:r>
          </w:p>
        </w:tc>
        <w:tc>
          <w:tcPr>
            <w:tcW w:w="174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before="60" w:after="6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9 933 545 583 Ft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before="60" w:after="6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9 292 246 962 Ft </w:t>
            </w:r>
          </w:p>
        </w:tc>
      </w:tr>
    </w:tbl>
    <w:p w:rsidR="009B585A" w:rsidRDefault="00845151" w:rsidP="00C03F01">
      <w:pPr>
        <w:spacing w:before="60" w:after="60" w:line="360" w:lineRule="exact"/>
        <w:rPr>
          <w:rFonts w:ascii="Times New Roman" w:hAnsi="Times New Roman" w:cs="Times New Roman"/>
          <w:sz w:val="24"/>
          <w:szCs w:val="24"/>
        </w:rPr>
      </w:pPr>
      <w:r>
        <w:rPr>
          <w:rFonts w:ascii="Times New Roman" w:hAnsi="Times New Roman" w:cs="Times New Roman"/>
          <w:sz w:val="24"/>
          <w:szCs w:val="24"/>
        </w:rPr>
        <w:t>A</w:t>
      </w:r>
      <w:r w:rsidR="009B585A">
        <w:rPr>
          <w:rFonts w:ascii="Times New Roman" w:hAnsi="Times New Roman" w:cs="Times New Roman"/>
          <w:sz w:val="24"/>
          <w:szCs w:val="24"/>
        </w:rPr>
        <w:t>z alábbi táblázatban foglaltuk össze a 2020. évben elnyert pályázati források típusait:</w:t>
      </w:r>
    </w:p>
    <w:tbl>
      <w:tblPr>
        <w:tblW w:w="9086" w:type="dxa"/>
        <w:tblCellMar>
          <w:left w:w="70" w:type="dxa"/>
          <w:right w:w="70" w:type="dxa"/>
        </w:tblCellMar>
        <w:tblLook w:val="04A0" w:firstRow="1" w:lastRow="0" w:firstColumn="1" w:lastColumn="0" w:noHBand="0" w:noVBand="1"/>
      </w:tblPr>
      <w:tblGrid>
        <w:gridCol w:w="1714"/>
        <w:gridCol w:w="318"/>
        <w:gridCol w:w="1060"/>
        <w:gridCol w:w="318"/>
        <w:gridCol w:w="1060"/>
        <w:gridCol w:w="318"/>
        <w:gridCol w:w="940"/>
        <w:gridCol w:w="485"/>
        <w:gridCol w:w="1433"/>
        <w:gridCol w:w="380"/>
        <w:gridCol w:w="1060"/>
      </w:tblGrid>
      <w:tr w:rsidR="009B585A" w:rsidRPr="00E93F21" w:rsidTr="00301A06">
        <w:trPr>
          <w:trHeight w:val="189"/>
        </w:trPr>
        <w:tc>
          <w:tcPr>
            <w:tcW w:w="0" w:type="auto"/>
            <w:gridSpan w:val="11"/>
            <w:tcBorders>
              <w:top w:val="single" w:sz="4" w:space="0" w:color="auto"/>
              <w:left w:val="single" w:sz="4" w:space="0" w:color="auto"/>
              <w:bottom w:val="single" w:sz="8" w:space="0" w:color="auto"/>
              <w:right w:val="single" w:sz="4" w:space="0" w:color="auto"/>
            </w:tcBorders>
            <w:shd w:val="clear" w:color="auto" w:fill="DDEBF7"/>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8"/>
                <w:lang w:eastAsia="hu-HU"/>
              </w:rPr>
              <w:t>2020-ban szerződött projektek</w:t>
            </w:r>
          </w:p>
        </w:tc>
      </w:tr>
      <w:tr w:rsidR="009B585A" w:rsidRPr="00E93F21" w:rsidTr="00301A06">
        <w:trPr>
          <w:trHeight w:val="182"/>
        </w:trPr>
        <w:tc>
          <w:tcPr>
            <w:tcW w:w="0" w:type="auto"/>
            <w:vMerge w:val="restart"/>
            <w:tcBorders>
              <w:top w:val="nil"/>
              <w:left w:val="single" w:sz="4" w:space="0" w:color="auto"/>
              <w:bottom w:val="single" w:sz="4" w:space="0" w:color="000000"/>
              <w:right w:val="single" w:sz="8"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Felhívás</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ÁJK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BTK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IK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PPK</w:t>
            </w:r>
          </w:p>
        </w:tc>
        <w:tc>
          <w:tcPr>
            <w:tcW w:w="0" w:type="auto"/>
            <w:gridSpan w:val="2"/>
            <w:tcBorders>
              <w:top w:val="single" w:sz="8" w:space="0" w:color="auto"/>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TÁTK</w:t>
            </w:r>
          </w:p>
        </w:tc>
      </w:tr>
      <w:tr w:rsidR="009B585A" w:rsidRPr="00E93F21" w:rsidTr="00301A06">
        <w:trPr>
          <w:trHeight w:val="182"/>
        </w:trPr>
        <w:tc>
          <w:tcPr>
            <w:tcW w:w="0" w:type="auto"/>
            <w:vMerge/>
            <w:tcBorders>
              <w:top w:val="nil"/>
              <w:left w:val="single" w:sz="4" w:space="0" w:color="auto"/>
              <w:bottom w:val="single" w:sz="4" w:space="0" w:color="000000"/>
              <w:right w:val="single" w:sz="8" w:space="0" w:color="auto"/>
            </w:tcBorders>
            <w:shd w:val="clear" w:color="auto" w:fill="FFF2CC"/>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485" w:type="dxa"/>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1433" w:type="dxa"/>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OTKA</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23 706 000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14</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377 660 000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5</w:t>
            </w: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138 340 000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59 252 000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Innovációs Alap</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1 365 000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635 766 842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H2020</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33 111 000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56 011 615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ERC</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659 093 200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Erasmus+</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22 260 492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27 096 277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52 937 121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14 876 772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nemzetközi</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764 071 823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37 588 535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28 845 536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Lendület</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165 000 000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hazai</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4</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8 240 000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2 033 000 </w:t>
            </w:r>
          </w:p>
        </w:tc>
        <w:tc>
          <w:tcPr>
            <w:tcW w:w="485"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1433" w:type="dxa"/>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2 250 000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800 000 </w:t>
            </w:r>
          </w:p>
        </w:tc>
      </w:tr>
      <w:tr w:rsidR="009B585A" w:rsidRPr="00E93F21" w:rsidTr="00301A06">
        <w:trPr>
          <w:trHeight w:val="189"/>
        </w:trPr>
        <w:tc>
          <w:tcPr>
            <w:tcW w:w="0" w:type="auto"/>
            <w:tcBorders>
              <w:top w:val="nil"/>
              <w:left w:val="single" w:sz="4" w:space="0" w:color="auto"/>
              <w:bottom w:val="single" w:sz="8"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Összesen</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1</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23 706 000 </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26</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1 997 690 515 </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8</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698 007 119 </w:t>
            </w:r>
          </w:p>
        </w:tc>
        <w:tc>
          <w:tcPr>
            <w:tcW w:w="485" w:type="dxa"/>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12</w:t>
            </w:r>
          </w:p>
        </w:tc>
        <w:tc>
          <w:tcPr>
            <w:tcW w:w="1433" w:type="dxa"/>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231 115 656 </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7</w:t>
            </w:r>
          </w:p>
        </w:tc>
        <w:tc>
          <w:tcPr>
            <w:tcW w:w="0" w:type="auto"/>
            <w:tcBorders>
              <w:top w:val="nil"/>
              <w:left w:val="nil"/>
              <w:bottom w:val="single" w:sz="8"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159 785 923 </w:t>
            </w:r>
          </w:p>
        </w:tc>
      </w:tr>
      <w:tr w:rsidR="009B585A" w:rsidRPr="00E93F21" w:rsidTr="00301A06">
        <w:trPr>
          <w:trHeight w:val="182"/>
        </w:trPr>
        <w:tc>
          <w:tcPr>
            <w:tcW w:w="0" w:type="auto"/>
            <w:vMerge w:val="restart"/>
            <w:tcBorders>
              <w:top w:val="nil"/>
              <w:left w:val="single" w:sz="4" w:space="0" w:color="auto"/>
              <w:bottom w:val="single" w:sz="4" w:space="0" w:color="000000"/>
              <w:right w:val="single" w:sz="8"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Felhívás</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TTK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BGGYK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TÓK</w:t>
            </w:r>
          </w:p>
        </w:tc>
        <w:tc>
          <w:tcPr>
            <w:tcW w:w="0" w:type="auto"/>
            <w:gridSpan w:val="2"/>
            <w:tcBorders>
              <w:top w:val="single" w:sz="8" w:space="0" w:color="auto"/>
              <w:left w:val="nil"/>
              <w:bottom w:val="single" w:sz="4" w:space="0" w:color="auto"/>
              <w:right w:val="single" w:sz="4" w:space="0" w:color="000000"/>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szervezeti egységek</w:t>
            </w:r>
          </w:p>
        </w:tc>
        <w:tc>
          <w:tcPr>
            <w:tcW w:w="0" w:type="auto"/>
            <w:gridSpan w:val="2"/>
            <w:tcBorders>
              <w:top w:val="single" w:sz="8" w:space="0" w:color="auto"/>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Összesen</w:t>
            </w:r>
          </w:p>
        </w:tc>
      </w:tr>
      <w:tr w:rsidR="009B585A" w:rsidRPr="00E93F21" w:rsidTr="00301A06">
        <w:trPr>
          <w:trHeight w:val="182"/>
        </w:trPr>
        <w:tc>
          <w:tcPr>
            <w:tcW w:w="0" w:type="auto"/>
            <w:vMerge/>
            <w:tcBorders>
              <w:top w:val="nil"/>
              <w:left w:val="single" w:sz="4" w:space="0" w:color="auto"/>
              <w:bottom w:val="single" w:sz="4" w:space="0" w:color="000000"/>
              <w:right w:val="single" w:sz="8" w:space="0" w:color="auto"/>
            </w:tcBorders>
            <w:shd w:val="clear" w:color="auto" w:fill="FFF2CC"/>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db</w:t>
            </w:r>
          </w:p>
        </w:tc>
        <w:tc>
          <w:tcPr>
            <w:tcW w:w="0" w:type="auto"/>
            <w:tcBorders>
              <w:top w:val="nil"/>
              <w:left w:val="nil"/>
              <w:bottom w:val="single" w:sz="4" w:space="0" w:color="auto"/>
              <w:right w:val="single" w:sz="4" w:space="0" w:color="auto"/>
            </w:tcBorders>
            <w:shd w:val="clear" w:color="auto" w:fill="FFF2CC"/>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összeg (Ft)</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OTKA</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25</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934 892 000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8 820 000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49</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1 542 670 000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Innovációs Alap</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35 564 470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1 200 000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9</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673 896 312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H2020</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5</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423 987 398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7</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513 110 013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ERC</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629 109 000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1 288 202 200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Erasmus+</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4 124 050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29 906 691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10</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151 201 403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nemzetközi</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4</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60 158 867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890 664 761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Lendület</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430 000 000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595 000 000 </w:t>
            </w:r>
          </w:p>
        </w:tc>
      </w:tr>
      <w:tr w:rsidR="009B585A" w:rsidRPr="00E93F21" w:rsidTr="00301A06">
        <w:trPr>
          <w:trHeight w:val="182"/>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Egyéb hazai</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3 000 000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600 000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5</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3 100 000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16</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20 484 597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32</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color w:val="000000"/>
                <w:sz w:val="16"/>
                <w:lang w:eastAsia="hu-HU"/>
              </w:rPr>
            </w:pPr>
            <w:r w:rsidRPr="00E93F21">
              <w:rPr>
                <w:rFonts w:ascii="Times New Roman" w:eastAsia="Times New Roman" w:hAnsi="Times New Roman" w:cs="Times New Roman"/>
                <w:color w:val="000000"/>
                <w:sz w:val="16"/>
                <w:lang w:eastAsia="hu-HU"/>
              </w:rPr>
              <w:t xml:space="preserve">40 507 597 </w:t>
            </w:r>
          </w:p>
        </w:tc>
      </w:tr>
      <w:tr w:rsidR="009B585A" w:rsidRPr="00E93F21" w:rsidTr="00301A06">
        <w:trPr>
          <w:trHeight w:val="189"/>
        </w:trPr>
        <w:tc>
          <w:tcPr>
            <w:tcW w:w="0" w:type="auto"/>
            <w:tcBorders>
              <w:top w:val="nil"/>
              <w:left w:val="single" w:sz="4" w:space="0" w:color="auto"/>
              <w:bottom w:val="single" w:sz="4" w:space="0" w:color="auto"/>
              <w:right w:val="single" w:sz="8" w:space="0" w:color="auto"/>
            </w:tcBorders>
            <w:shd w:val="clear" w:color="auto" w:fill="DDEBF7"/>
            <w:noWrap/>
            <w:vAlign w:val="center"/>
            <w:hideMark/>
          </w:tcPr>
          <w:p w:rsidR="009B585A" w:rsidRPr="00E93F21" w:rsidRDefault="009B585A" w:rsidP="00301A06">
            <w:pPr>
              <w:spacing w:after="0" w:line="360" w:lineRule="auto"/>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Összesen</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41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2 516 711 735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600 000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6</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7 224 050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21</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60 411 288 </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center"/>
              <w:rPr>
                <w:rFonts w:ascii="Times New Roman" w:eastAsia="Times New Roman" w:hAnsi="Times New Roman" w:cs="Times New Roman"/>
                <w:b/>
                <w:color w:val="000000"/>
                <w:sz w:val="16"/>
                <w:lang w:eastAsia="hu-HU"/>
              </w:rPr>
            </w:pPr>
            <w:r w:rsidRPr="00E93F21">
              <w:rPr>
                <w:rFonts w:ascii="Times New Roman" w:eastAsia="Times New Roman" w:hAnsi="Times New Roman" w:cs="Times New Roman"/>
                <w:b/>
                <w:color w:val="000000"/>
                <w:sz w:val="16"/>
                <w:lang w:eastAsia="hu-HU"/>
              </w:rPr>
              <w:t>123</w:t>
            </w:r>
          </w:p>
        </w:tc>
        <w:tc>
          <w:tcPr>
            <w:tcW w:w="0" w:type="auto"/>
            <w:tcBorders>
              <w:top w:val="nil"/>
              <w:left w:val="nil"/>
              <w:bottom w:val="single" w:sz="4" w:space="0" w:color="auto"/>
              <w:right w:val="single" w:sz="4" w:space="0" w:color="auto"/>
            </w:tcBorders>
            <w:shd w:val="clear" w:color="auto" w:fill="auto"/>
            <w:noWrap/>
            <w:vAlign w:val="center"/>
            <w:hideMark/>
          </w:tcPr>
          <w:p w:rsidR="009B585A" w:rsidRPr="00E93F21" w:rsidRDefault="009B585A" w:rsidP="00301A06">
            <w:pPr>
              <w:spacing w:after="0" w:line="360" w:lineRule="auto"/>
              <w:jc w:val="right"/>
              <w:rPr>
                <w:rFonts w:ascii="Times New Roman" w:eastAsia="Times New Roman" w:hAnsi="Times New Roman" w:cs="Times New Roman"/>
                <w:b/>
                <w:bCs/>
                <w:color w:val="000000"/>
                <w:sz w:val="16"/>
                <w:lang w:eastAsia="hu-HU"/>
              </w:rPr>
            </w:pPr>
            <w:r w:rsidRPr="00E93F21">
              <w:rPr>
                <w:rFonts w:ascii="Times New Roman" w:eastAsia="Times New Roman" w:hAnsi="Times New Roman" w:cs="Times New Roman"/>
                <w:b/>
                <w:bCs/>
                <w:color w:val="000000"/>
                <w:sz w:val="16"/>
                <w:lang w:eastAsia="hu-HU"/>
              </w:rPr>
              <w:t xml:space="preserve">5 695 252 286 </w:t>
            </w:r>
          </w:p>
        </w:tc>
      </w:tr>
    </w:tbl>
    <w:p w:rsidR="00E93F21" w:rsidRPr="00592606" w:rsidRDefault="008563E8" w:rsidP="00E93F21">
      <w:pPr>
        <w:spacing w:before="60" w:after="60" w:line="360" w:lineRule="exact"/>
        <w:jc w:val="both"/>
        <w:rPr>
          <w:rFonts w:ascii="Times New Roman" w:hAnsi="Times New Roman" w:cs="Times New Roman"/>
          <w:sz w:val="24"/>
          <w:szCs w:val="24"/>
        </w:rPr>
      </w:pPr>
      <w:r w:rsidRPr="00592606">
        <w:rPr>
          <w:rFonts w:ascii="Times New Roman" w:hAnsi="Times New Roman" w:cs="Times New Roman"/>
          <w:sz w:val="24"/>
          <w:szCs w:val="24"/>
        </w:rPr>
        <w:t xml:space="preserve">A </w:t>
      </w:r>
      <w:r w:rsidR="00E93F21" w:rsidRPr="00592606">
        <w:rPr>
          <w:rFonts w:ascii="Times New Roman" w:hAnsi="Times New Roman" w:cs="Times New Roman"/>
          <w:sz w:val="24"/>
          <w:szCs w:val="24"/>
        </w:rPr>
        <w:t xml:space="preserve">források felhasználási </w:t>
      </w:r>
      <w:r w:rsidR="00E93F21">
        <w:rPr>
          <w:rFonts w:ascii="Times New Roman" w:hAnsi="Times New Roman" w:cs="Times New Roman"/>
          <w:sz w:val="24"/>
          <w:szCs w:val="24"/>
        </w:rPr>
        <w:t>területeinek bevételét és kiadását</w:t>
      </w:r>
      <w:r w:rsidR="00E93F21" w:rsidRPr="00592606">
        <w:rPr>
          <w:rFonts w:ascii="Times New Roman" w:hAnsi="Times New Roman" w:cs="Times New Roman"/>
          <w:sz w:val="24"/>
          <w:szCs w:val="24"/>
        </w:rPr>
        <w:t xml:space="preserve"> az alábbi </w:t>
      </w:r>
      <w:r w:rsidR="00E93F21">
        <w:rPr>
          <w:rFonts w:ascii="Times New Roman" w:hAnsi="Times New Roman" w:cs="Times New Roman"/>
          <w:sz w:val="24"/>
          <w:szCs w:val="24"/>
        </w:rPr>
        <w:t>táblázattal</w:t>
      </w:r>
      <w:r w:rsidR="00E93F21" w:rsidRPr="00592606">
        <w:rPr>
          <w:rFonts w:ascii="Times New Roman" w:hAnsi="Times New Roman" w:cs="Times New Roman"/>
          <w:sz w:val="24"/>
          <w:szCs w:val="24"/>
        </w:rPr>
        <w:t xml:space="preserve"> szemléltetjük:</w:t>
      </w:r>
    </w:p>
    <w:tbl>
      <w:tblPr>
        <w:tblW w:w="9186" w:type="dxa"/>
        <w:tblInd w:w="-5" w:type="dxa"/>
        <w:tblCellMar>
          <w:left w:w="70" w:type="dxa"/>
          <w:right w:w="70" w:type="dxa"/>
        </w:tblCellMar>
        <w:tblLook w:val="04A0" w:firstRow="1" w:lastRow="0" w:firstColumn="1" w:lastColumn="0" w:noHBand="0" w:noVBand="1"/>
      </w:tblPr>
      <w:tblGrid>
        <w:gridCol w:w="1629"/>
        <w:gridCol w:w="1695"/>
        <w:gridCol w:w="1413"/>
        <w:gridCol w:w="2260"/>
        <w:gridCol w:w="2189"/>
      </w:tblGrid>
      <w:tr w:rsidR="00E93F21" w:rsidRPr="00E93F21" w:rsidTr="008563E8">
        <w:trPr>
          <w:trHeight w:val="539"/>
        </w:trPr>
        <w:tc>
          <w:tcPr>
            <w:tcW w:w="1629" w:type="dxa"/>
            <w:tcBorders>
              <w:top w:val="single" w:sz="4" w:space="0" w:color="auto"/>
              <w:left w:val="single" w:sz="4" w:space="0" w:color="auto"/>
              <w:bottom w:val="single" w:sz="4" w:space="0" w:color="auto"/>
              <w:right w:val="single" w:sz="4" w:space="0" w:color="auto"/>
            </w:tcBorders>
            <w:shd w:val="clear" w:color="000000" w:fill="FFF2CC"/>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Pályázat területe</w:t>
            </w:r>
          </w:p>
        </w:tc>
        <w:tc>
          <w:tcPr>
            <w:tcW w:w="1695" w:type="dxa"/>
            <w:tcBorders>
              <w:top w:val="single" w:sz="4" w:space="0" w:color="auto"/>
              <w:left w:val="nil"/>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bevétel</w:t>
            </w:r>
            <w:r w:rsidR="008563E8">
              <w:rPr>
                <w:rFonts w:ascii="Times New Roman" w:eastAsia="Times New Roman" w:hAnsi="Times New Roman" w:cs="Times New Roman"/>
                <w:b/>
                <w:sz w:val="18"/>
                <w:szCs w:val="20"/>
                <w:lang w:eastAsia="hu-HU"/>
              </w:rPr>
              <w:t xml:space="preserve"> (Ft)</w:t>
            </w:r>
          </w:p>
        </w:tc>
        <w:tc>
          <w:tcPr>
            <w:tcW w:w="1413" w:type="dxa"/>
            <w:tcBorders>
              <w:top w:val="single" w:sz="4" w:space="0" w:color="auto"/>
              <w:left w:val="nil"/>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kiadás</w:t>
            </w:r>
            <w:r w:rsidR="008563E8">
              <w:rPr>
                <w:rFonts w:ascii="Times New Roman" w:eastAsia="Times New Roman" w:hAnsi="Times New Roman" w:cs="Times New Roman"/>
                <w:b/>
                <w:sz w:val="18"/>
                <w:szCs w:val="20"/>
                <w:lang w:eastAsia="hu-HU"/>
              </w:rPr>
              <w:t xml:space="preserve"> (Ft)</w:t>
            </w:r>
          </w:p>
        </w:tc>
        <w:tc>
          <w:tcPr>
            <w:tcW w:w="2260" w:type="dxa"/>
            <w:tcBorders>
              <w:top w:val="single" w:sz="4" w:space="0" w:color="auto"/>
              <w:left w:val="nil"/>
              <w:bottom w:val="single" w:sz="4" w:space="0" w:color="auto"/>
              <w:right w:val="single" w:sz="4" w:space="0" w:color="auto"/>
            </w:tcBorders>
            <w:shd w:val="clear" w:color="000000" w:fill="FFF2CC"/>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bevétel az összes 2020. évi pályázati forrás bevételéhez képest</w:t>
            </w:r>
          </w:p>
        </w:tc>
        <w:tc>
          <w:tcPr>
            <w:tcW w:w="2189" w:type="dxa"/>
            <w:tcBorders>
              <w:top w:val="single" w:sz="4" w:space="0" w:color="auto"/>
              <w:left w:val="nil"/>
              <w:bottom w:val="single" w:sz="4" w:space="0" w:color="auto"/>
              <w:right w:val="single" w:sz="4" w:space="0" w:color="auto"/>
            </w:tcBorders>
            <w:shd w:val="clear" w:color="000000" w:fill="FFF2CC"/>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2020. évi kiadás az összes 2020. évi pályázati forrás kiadásához képest</w:t>
            </w:r>
          </w:p>
        </w:tc>
      </w:tr>
      <w:tr w:rsidR="00E93F21" w:rsidRPr="00E93F21" w:rsidTr="008563E8">
        <w:trPr>
          <w:trHeight w:val="135"/>
        </w:trPr>
        <w:tc>
          <w:tcPr>
            <w:tcW w:w="1629" w:type="dxa"/>
            <w:tcBorders>
              <w:top w:val="nil"/>
              <w:left w:val="single" w:sz="4" w:space="0" w:color="auto"/>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rPr>
                <w:rFonts w:ascii="Times New Roman" w:eastAsia="Times New Roman" w:hAnsi="Times New Roman" w:cs="Times New Roman"/>
                <w:sz w:val="18"/>
                <w:szCs w:val="20"/>
                <w:lang w:eastAsia="hu-HU"/>
              </w:rPr>
            </w:pPr>
            <w:r>
              <w:rPr>
                <w:rFonts w:ascii="Times New Roman" w:eastAsia="Times New Roman" w:hAnsi="Times New Roman" w:cs="Times New Roman"/>
                <w:sz w:val="18"/>
                <w:szCs w:val="20"/>
                <w:lang w:eastAsia="hu-HU"/>
              </w:rPr>
              <w:t>Infrastruktúra</w:t>
            </w:r>
          </w:p>
        </w:tc>
        <w:tc>
          <w:tcPr>
            <w:tcW w:w="1695"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448 318 000 </w:t>
            </w:r>
          </w:p>
        </w:tc>
        <w:tc>
          <w:tcPr>
            <w:tcW w:w="1413"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90 947 640 </w:t>
            </w:r>
          </w:p>
        </w:tc>
        <w:tc>
          <w:tcPr>
            <w:tcW w:w="2260"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5%</w:t>
            </w:r>
          </w:p>
        </w:tc>
        <w:tc>
          <w:tcPr>
            <w:tcW w:w="2189"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1%</w:t>
            </w:r>
          </w:p>
        </w:tc>
      </w:tr>
      <w:tr w:rsidR="00E93F21" w:rsidRPr="00E93F21" w:rsidTr="008563E8">
        <w:trPr>
          <w:trHeight w:val="135"/>
        </w:trPr>
        <w:tc>
          <w:tcPr>
            <w:tcW w:w="1629" w:type="dxa"/>
            <w:tcBorders>
              <w:top w:val="nil"/>
              <w:left w:val="single" w:sz="4" w:space="0" w:color="auto"/>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rPr>
                <w:rFonts w:ascii="Times New Roman" w:eastAsia="Times New Roman" w:hAnsi="Times New Roman" w:cs="Times New Roman"/>
                <w:sz w:val="18"/>
                <w:szCs w:val="20"/>
                <w:lang w:eastAsia="hu-HU"/>
              </w:rPr>
            </w:pPr>
            <w:r>
              <w:rPr>
                <w:rFonts w:ascii="Times New Roman" w:eastAsia="Times New Roman" w:hAnsi="Times New Roman" w:cs="Times New Roman"/>
                <w:sz w:val="18"/>
                <w:szCs w:val="20"/>
                <w:lang w:eastAsia="hu-HU"/>
              </w:rPr>
              <w:t>Kutatás</w:t>
            </w:r>
          </w:p>
        </w:tc>
        <w:tc>
          <w:tcPr>
            <w:tcW w:w="1695"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7 495 526 273 </w:t>
            </w:r>
          </w:p>
        </w:tc>
        <w:tc>
          <w:tcPr>
            <w:tcW w:w="1413"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6 476 537 722 </w:t>
            </w:r>
          </w:p>
        </w:tc>
        <w:tc>
          <w:tcPr>
            <w:tcW w:w="2260"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75%</w:t>
            </w:r>
          </w:p>
        </w:tc>
        <w:tc>
          <w:tcPr>
            <w:tcW w:w="2189"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70%</w:t>
            </w:r>
          </w:p>
        </w:tc>
      </w:tr>
      <w:tr w:rsidR="00E93F21" w:rsidRPr="00E93F21" w:rsidTr="008563E8">
        <w:trPr>
          <w:trHeight w:val="135"/>
        </w:trPr>
        <w:tc>
          <w:tcPr>
            <w:tcW w:w="1629" w:type="dxa"/>
            <w:tcBorders>
              <w:top w:val="nil"/>
              <w:left w:val="single" w:sz="4" w:space="0" w:color="auto"/>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rPr>
                <w:rFonts w:ascii="Times New Roman" w:eastAsia="Times New Roman" w:hAnsi="Times New Roman" w:cs="Times New Roman"/>
                <w:sz w:val="18"/>
                <w:szCs w:val="20"/>
                <w:lang w:eastAsia="hu-HU"/>
              </w:rPr>
            </w:pPr>
            <w:r>
              <w:rPr>
                <w:rFonts w:ascii="Times New Roman" w:eastAsia="Times New Roman" w:hAnsi="Times New Roman" w:cs="Times New Roman"/>
                <w:sz w:val="18"/>
                <w:szCs w:val="20"/>
                <w:lang w:eastAsia="hu-HU"/>
              </w:rPr>
              <w:t>Oktatás</w:t>
            </w:r>
          </w:p>
        </w:tc>
        <w:tc>
          <w:tcPr>
            <w:tcW w:w="1695"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1 989 701 310 </w:t>
            </w:r>
          </w:p>
        </w:tc>
        <w:tc>
          <w:tcPr>
            <w:tcW w:w="1413"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 xml:space="preserve">2 724 761 600 </w:t>
            </w:r>
          </w:p>
        </w:tc>
        <w:tc>
          <w:tcPr>
            <w:tcW w:w="2260"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20%</w:t>
            </w:r>
          </w:p>
        </w:tc>
        <w:tc>
          <w:tcPr>
            <w:tcW w:w="2189"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sz w:val="18"/>
                <w:szCs w:val="20"/>
                <w:lang w:eastAsia="hu-HU"/>
              </w:rPr>
            </w:pPr>
            <w:r w:rsidRPr="00E93F21">
              <w:rPr>
                <w:rFonts w:ascii="Times New Roman" w:eastAsia="Times New Roman" w:hAnsi="Times New Roman" w:cs="Times New Roman"/>
                <w:sz w:val="18"/>
                <w:szCs w:val="20"/>
                <w:lang w:eastAsia="hu-HU"/>
              </w:rPr>
              <w:t>29%</w:t>
            </w:r>
          </w:p>
        </w:tc>
      </w:tr>
      <w:tr w:rsidR="00E93F21" w:rsidRPr="00E93F21" w:rsidTr="008563E8">
        <w:trPr>
          <w:trHeight w:val="135"/>
        </w:trPr>
        <w:tc>
          <w:tcPr>
            <w:tcW w:w="1629" w:type="dxa"/>
            <w:tcBorders>
              <w:top w:val="nil"/>
              <w:left w:val="single" w:sz="4" w:space="0" w:color="auto"/>
              <w:bottom w:val="single" w:sz="4" w:space="0" w:color="auto"/>
              <w:right w:val="single" w:sz="4" w:space="0" w:color="auto"/>
            </w:tcBorders>
            <w:shd w:val="clear" w:color="DDEBF7" w:fill="DDEBF7"/>
            <w:vAlign w:val="center"/>
            <w:hideMark/>
          </w:tcPr>
          <w:p w:rsidR="00E93F21" w:rsidRPr="00E93F21" w:rsidRDefault="00E93F21" w:rsidP="008563E8">
            <w:pPr>
              <w:spacing w:after="0" w:line="240" w:lineRule="auto"/>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Végösszeg</w:t>
            </w:r>
          </w:p>
        </w:tc>
        <w:tc>
          <w:tcPr>
            <w:tcW w:w="1695"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9 933 545 583 </w:t>
            </w:r>
          </w:p>
        </w:tc>
        <w:tc>
          <w:tcPr>
            <w:tcW w:w="1413"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right"/>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 xml:space="preserve">9 292 246 962 </w:t>
            </w:r>
          </w:p>
        </w:tc>
        <w:tc>
          <w:tcPr>
            <w:tcW w:w="2260"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100%</w:t>
            </w:r>
          </w:p>
        </w:tc>
        <w:tc>
          <w:tcPr>
            <w:tcW w:w="2189" w:type="dxa"/>
            <w:tcBorders>
              <w:top w:val="nil"/>
              <w:left w:val="nil"/>
              <w:bottom w:val="single" w:sz="4" w:space="0" w:color="auto"/>
              <w:right w:val="single" w:sz="4" w:space="0" w:color="auto"/>
            </w:tcBorders>
            <w:shd w:val="clear" w:color="auto" w:fill="auto"/>
            <w:noWrap/>
            <w:vAlign w:val="center"/>
            <w:hideMark/>
          </w:tcPr>
          <w:p w:rsidR="00E93F21" w:rsidRPr="00E93F21" w:rsidRDefault="00E93F21" w:rsidP="008563E8">
            <w:pPr>
              <w:spacing w:after="0" w:line="240" w:lineRule="auto"/>
              <w:jc w:val="center"/>
              <w:rPr>
                <w:rFonts w:ascii="Times New Roman" w:eastAsia="Times New Roman" w:hAnsi="Times New Roman" w:cs="Times New Roman"/>
                <w:b/>
                <w:sz w:val="18"/>
                <w:szCs w:val="20"/>
                <w:lang w:eastAsia="hu-HU"/>
              </w:rPr>
            </w:pPr>
            <w:r w:rsidRPr="00E93F21">
              <w:rPr>
                <w:rFonts w:ascii="Times New Roman" w:eastAsia="Times New Roman" w:hAnsi="Times New Roman" w:cs="Times New Roman"/>
                <w:b/>
                <w:sz w:val="18"/>
                <w:szCs w:val="20"/>
                <w:lang w:eastAsia="hu-HU"/>
              </w:rPr>
              <w:t>100%</w:t>
            </w:r>
          </w:p>
        </w:tc>
      </w:tr>
    </w:tbl>
    <w:p w:rsidR="00E93F21" w:rsidRPr="00852F1D" w:rsidRDefault="00E93F21" w:rsidP="00E93F21">
      <w:pPr>
        <w:keepNext/>
        <w:keepLines/>
        <w:spacing w:before="60" w:after="60" w:line="240" w:lineRule="auto"/>
        <w:jc w:val="both"/>
        <w:outlineLvl w:val="1"/>
        <w:rPr>
          <w:rFonts w:ascii="Times New Roman" w:hAnsi="Times New Roman" w:cs="Times New Roman"/>
          <w:b/>
          <w:sz w:val="24"/>
          <w:szCs w:val="24"/>
        </w:rPr>
      </w:pPr>
      <w:r w:rsidRPr="00852F1D">
        <w:rPr>
          <w:rFonts w:ascii="Times New Roman" w:hAnsi="Times New Roman" w:cs="Times New Roman"/>
          <w:b/>
          <w:sz w:val="24"/>
          <w:szCs w:val="24"/>
        </w:rPr>
        <w:lastRenderedPageBreak/>
        <w:t>I.4 Kiemelt programok bemutatása</w:t>
      </w:r>
      <w:r>
        <w:rPr>
          <w:rFonts w:ascii="Times New Roman" w:hAnsi="Times New Roman" w:cs="Times New Roman"/>
          <w:b/>
          <w:sz w:val="24"/>
          <w:szCs w:val="24"/>
        </w:rPr>
        <w:t xml:space="preserve"> </w:t>
      </w:r>
    </w:p>
    <w:p w:rsidR="00E93F21" w:rsidRDefault="00E93F21" w:rsidP="00E93F21">
      <w:pPr>
        <w:keepNext/>
        <w:keepLines/>
        <w:spacing w:before="60" w:after="60" w:line="360" w:lineRule="exact"/>
        <w:outlineLvl w:val="1"/>
        <w:rPr>
          <w:rFonts w:ascii="Times New Roman" w:hAnsi="Times New Roman" w:cs="Times New Roman"/>
          <w:b/>
          <w:sz w:val="24"/>
          <w:szCs w:val="24"/>
        </w:rPr>
      </w:pPr>
      <w:r w:rsidRPr="00805717">
        <w:rPr>
          <w:rFonts w:ascii="Times New Roman" w:hAnsi="Times New Roman" w:cs="Times New Roman"/>
          <w:b/>
          <w:sz w:val="24"/>
          <w:szCs w:val="24"/>
        </w:rPr>
        <w:t>I.4.1. Hallgatói mobilitás</w:t>
      </w:r>
    </w:p>
    <w:p w:rsidR="00E93F21" w:rsidRPr="006D3F7B" w:rsidRDefault="00E93F21" w:rsidP="00E93F21">
      <w:pPr>
        <w:keepNext/>
        <w:keepLines/>
        <w:spacing w:before="60" w:after="60" w:line="360" w:lineRule="exact"/>
        <w:outlineLvl w:val="1"/>
        <w:rPr>
          <w:rFonts w:ascii="Times New Roman" w:hAnsi="Times New Roman" w:cs="Times New Roman"/>
          <w:b/>
          <w:sz w:val="24"/>
          <w:szCs w:val="24"/>
        </w:rPr>
      </w:pPr>
      <w:r w:rsidRPr="00805717">
        <w:rPr>
          <w:rFonts w:ascii="Times New Roman" w:hAnsi="Times New Roman" w:cs="Times New Roman"/>
          <w:b/>
          <w:sz w:val="24"/>
          <w:szCs w:val="24"/>
        </w:rPr>
        <w:t>I.4.1.1. Európai mobilitások</w:t>
      </w:r>
    </w:p>
    <w:p w:rsidR="00E93F21" w:rsidRPr="00026D2E" w:rsidRDefault="00E93F21" w:rsidP="00E93F21">
      <w:pPr>
        <w:keepNext/>
        <w:keepLines/>
        <w:spacing w:before="60" w:after="60" w:line="360" w:lineRule="exact"/>
        <w:outlineLvl w:val="1"/>
        <w:rPr>
          <w:rFonts w:ascii="Times New Roman" w:hAnsi="Times New Roman" w:cs="Times New Roman"/>
          <w:b/>
          <w:i/>
          <w:sz w:val="24"/>
          <w:szCs w:val="24"/>
        </w:rPr>
      </w:pPr>
      <w:r w:rsidRPr="00026D2E">
        <w:rPr>
          <w:rFonts w:ascii="Times New Roman" w:hAnsi="Times New Roman" w:cs="Times New Roman"/>
          <w:b/>
          <w:i/>
          <w:sz w:val="24"/>
          <w:szCs w:val="24"/>
        </w:rPr>
        <w:t>Erasmus+ program</w:t>
      </w:r>
    </w:p>
    <w:p w:rsidR="00E93F21" w:rsidRPr="00805717" w:rsidRDefault="00E93F21" w:rsidP="00E93F2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Az </w:t>
      </w:r>
      <w:r w:rsidRPr="00026D2E">
        <w:rPr>
          <w:rFonts w:ascii="Times New Roman" w:hAnsi="Times New Roman" w:cs="Times New Roman"/>
          <w:sz w:val="24"/>
          <w:szCs w:val="24"/>
        </w:rPr>
        <w:t>európai</w:t>
      </w:r>
      <w:r w:rsidRPr="008B73A0">
        <w:rPr>
          <w:rFonts w:ascii="Times New Roman" w:hAnsi="Times New Roman" w:cs="Times New Roman"/>
          <w:b/>
          <w:i/>
          <w:sz w:val="24"/>
          <w:szCs w:val="24"/>
        </w:rPr>
        <w:t xml:space="preserve"> </w:t>
      </w:r>
      <w:r w:rsidRPr="00026D2E">
        <w:rPr>
          <w:rFonts w:ascii="Times New Roman" w:hAnsi="Times New Roman" w:cs="Times New Roman"/>
          <w:sz w:val="24"/>
          <w:szCs w:val="24"/>
        </w:rPr>
        <w:t>Erasmus+ programban</w:t>
      </w:r>
      <w:r w:rsidRPr="00805717">
        <w:rPr>
          <w:rFonts w:ascii="Times New Roman" w:hAnsi="Times New Roman" w:cs="Times New Roman"/>
          <w:sz w:val="24"/>
          <w:szCs w:val="24"/>
        </w:rPr>
        <w:t xml:space="preserve"> a 2020-as tanévben három projekt megvalósítása zajlott párhuzamosan az ELTE-n:</w:t>
      </w:r>
    </w:p>
    <w:p w:rsidR="00E93F21" w:rsidRPr="00805717" w:rsidRDefault="00E93F21" w:rsidP="00E93F2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 2018–21-es (32 hónap) projekt 2021.01.31-én lezárult, jelenleg a folyik a Tempus Közalapítvány felé a beszámolás elkészítése (határidő: 2021.02.28).</w:t>
      </w:r>
    </w:p>
    <w:p w:rsidR="00E93F21" w:rsidRPr="00805717" w:rsidRDefault="00E93F21" w:rsidP="00E93F2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 2019–21-es projekt megvalósítása (2019.06.01 – 2021.07.31.) – folyamatban.</w:t>
      </w:r>
    </w:p>
    <w:p w:rsidR="00E93F21" w:rsidRDefault="00E93F21" w:rsidP="00E93F21">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 2020–21-es projekt megvalósítása (2020.06.0</w:t>
      </w:r>
      <w:r>
        <w:rPr>
          <w:rFonts w:ascii="Times New Roman" w:hAnsi="Times New Roman" w:cs="Times New Roman"/>
          <w:sz w:val="24"/>
          <w:szCs w:val="24"/>
        </w:rPr>
        <w:t>1 – 2021.10.31.) – folyamatban.</w:t>
      </w:r>
    </w:p>
    <w:p w:rsidR="00E93F21" w:rsidRPr="00805717" w:rsidRDefault="00E93F21" w:rsidP="00E93F2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2018–21-es projektben összesen 2.023.985 € összeg került felhasználásra.</w:t>
      </w:r>
    </w:p>
    <w:p w:rsidR="00E93F21" w:rsidRDefault="00E93F21" w:rsidP="00E93F2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2019–21-es tanévekre és a 2019-es tanévben megkezdődött program keretében elnyert támogatási összeg</w:t>
      </w:r>
      <w:r w:rsidR="00552F89">
        <w:rPr>
          <w:rFonts w:ascii="Times New Roman" w:hAnsi="Times New Roman" w:cs="Times New Roman"/>
          <w:sz w:val="24"/>
          <w:szCs w:val="24"/>
        </w:rPr>
        <w:t>eket az alábbi táblázat mutatja.</w:t>
      </w:r>
    </w:p>
    <w:tbl>
      <w:tblPr>
        <w:tblStyle w:val="Rcsostblzat"/>
        <w:tblW w:w="9212" w:type="dxa"/>
        <w:tblLook w:val="04A0" w:firstRow="1" w:lastRow="0" w:firstColumn="1" w:lastColumn="0" w:noHBand="0" w:noVBand="1"/>
      </w:tblPr>
      <w:tblGrid>
        <w:gridCol w:w="4361"/>
        <w:gridCol w:w="2551"/>
        <w:gridCol w:w="2300"/>
      </w:tblGrid>
      <w:tr w:rsidR="00E93F21" w:rsidRPr="00301A06" w:rsidTr="006901DE">
        <w:trPr>
          <w:trHeight w:val="455"/>
        </w:trPr>
        <w:tc>
          <w:tcPr>
            <w:tcW w:w="4361" w:type="dxa"/>
          </w:tcPr>
          <w:p w:rsidR="00E93F21" w:rsidRPr="00552F89" w:rsidRDefault="00552F89" w:rsidP="00552F89">
            <w:pPr>
              <w:keepNext/>
              <w:keepLines/>
              <w:spacing w:before="60" w:after="60"/>
              <w:jc w:val="center"/>
              <w:outlineLvl w:val="1"/>
              <w:rPr>
                <w:rFonts w:ascii="Times New Roman" w:hAnsi="Times New Roman" w:cs="Times New Roman"/>
                <w:b/>
              </w:rPr>
            </w:pPr>
            <w:r>
              <w:rPr>
                <w:rFonts w:ascii="Times New Roman" w:hAnsi="Times New Roman" w:cs="Times New Roman"/>
                <w:b/>
              </w:rPr>
              <w:t>C</w:t>
            </w:r>
            <w:r w:rsidRPr="00552F89">
              <w:rPr>
                <w:rFonts w:ascii="Times New Roman" w:hAnsi="Times New Roman" w:cs="Times New Roman"/>
                <w:b/>
              </w:rPr>
              <w:t>él</w:t>
            </w:r>
            <w:r>
              <w:rPr>
                <w:rFonts w:ascii="Times New Roman" w:hAnsi="Times New Roman" w:cs="Times New Roman"/>
                <w:b/>
              </w:rPr>
              <w:t>kitűzés</w:t>
            </w:r>
          </w:p>
        </w:tc>
        <w:tc>
          <w:tcPr>
            <w:tcW w:w="2551" w:type="dxa"/>
          </w:tcPr>
          <w:p w:rsidR="00E93F21" w:rsidRPr="00301A06" w:rsidRDefault="00E93F21" w:rsidP="00301A06">
            <w:pPr>
              <w:keepNext/>
              <w:keepLines/>
              <w:spacing w:before="60" w:after="60"/>
              <w:jc w:val="center"/>
              <w:outlineLvl w:val="1"/>
              <w:rPr>
                <w:rFonts w:ascii="Times New Roman" w:hAnsi="Times New Roman" w:cs="Times New Roman"/>
                <w:b/>
              </w:rPr>
            </w:pPr>
            <w:r w:rsidRPr="00301A06">
              <w:rPr>
                <w:rFonts w:ascii="Times New Roman" w:hAnsi="Times New Roman" w:cs="Times New Roman"/>
                <w:b/>
              </w:rPr>
              <w:t>2019–21-es projekt</w:t>
            </w:r>
          </w:p>
        </w:tc>
        <w:tc>
          <w:tcPr>
            <w:tcW w:w="2300" w:type="dxa"/>
          </w:tcPr>
          <w:p w:rsidR="00E93F21" w:rsidRPr="00301A06" w:rsidRDefault="00E93F21" w:rsidP="00301A06">
            <w:pPr>
              <w:keepNext/>
              <w:keepLines/>
              <w:spacing w:before="60" w:after="60"/>
              <w:jc w:val="center"/>
              <w:outlineLvl w:val="1"/>
              <w:rPr>
                <w:rFonts w:ascii="Times New Roman" w:hAnsi="Times New Roman" w:cs="Times New Roman"/>
                <w:b/>
              </w:rPr>
            </w:pPr>
            <w:r w:rsidRPr="00301A06">
              <w:rPr>
                <w:rFonts w:ascii="Times New Roman" w:hAnsi="Times New Roman" w:cs="Times New Roman"/>
                <w:b/>
              </w:rPr>
              <w:t>2020–21-es projekt</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rPr>
            </w:pPr>
            <w:r w:rsidRPr="00301A06">
              <w:rPr>
                <w:rFonts w:ascii="Times New Roman" w:hAnsi="Times New Roman" w:cs="Times New Roman"/>
              </w:rPr>
              <w:t>hallgatói mobilitásra (tanulmányok)</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1.788.659 €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1.500.977,5 €</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rPr>
            </w:pPr>
            <w:r w:rsidRPr="00301A06">
              <w:rPr>
                <w:rFonts w:ascii="Times New Roman" w:hAnsi="Times New Roman" w:cs="Times New Roman"/>
              </w:rPr>
              <w:t>hallgatói mobilitás (szakmai gyakorlat)</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458.035 €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529.154 €</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rPr>
            </w:pPr>
            <w:r w:rsidRPr="00301A06">
              <w:rPr>
                <w:rFonts w:ascii="Times New Roman" w:hAnsi="Times New Roman" w:cs="Times New Roman"/>
              </w:rPr>
              <w:t>munkatársi mobilitás-oktatási célú</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158.845 €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147.980 €</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rPr>
            </w:pPr>
            <w:r w:rsidRPr="00301A06">
              <w:rPr>
                <w:rFonts w:ascii="Times New Roman" w:hAnsi="Times New Roman" w:cs="Times New Roman"/>
              </w:rPr>
              <w:t>munkatársi mobilitás-személyzet képzése</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620.862 €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513.320 €</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rPr>
            </w:pPr>
            <w:r w:rsidRPr="00301A06">
              <w:rPr>
                <w:rFonts w:ascii="Times New Roman" w:hAnsi="Times New Roman" w:cs="Times New Roman"/>
              </w:rPr>
              <w:t>mobilitás szervezésre</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287.000 €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rPr>
            </w:pPr>
            <w:r w:rsidRPr="00301A06">
              <w:rPr>
                <w:rFonts w:ascii="Times New Roman" w:hAnsi="Times New Roman" w:cs="Times New Roman"/>
              </w:rPr>
              <w:t>273.000 €</w:t>
            </w:r>
          </w:p>
        </w:tc>
      </w:tr>
      <w:tr w:rsidR="00E93F21" w:rsidRPr="00301A06" w:rsidTr="006901DE">
        <w:tc>
          <w:tcPr>
            <w:tcW w:w="4361" w:type="dxa"/>
          </w:tcPr>
          <w:p w:rsidR="00E93F21" w:rsidRPr="00301A06" w:rsidRDefault="00E93F21" w:rsidP="00301A06">
            <w:pPr>
              <w:keepNext/>
              <w:keepLines/>
              <w:spacing w:before="60" w:after="60"/>
              <w:jc w:val="both"/>
              <w:outlineLvl w:val="1"/>
              <w:rPr>
                <w:rFonts w:ascii="Times New Roman" w:hAnsi="Times New Roman" w:cs="Times New Roman"/>
                <w:b/>
              </w:rPr>
            </w:pPr>
            <w:r w:rsidRPr="00301A06">
              <w:rPr>
                <w:rFonts w:ascii="Times New Roman" w:hAnsi="Times New Roman" w:cs="Times New Roman"/>
                <w:b/>
              </w:rPr>
              <w:t>összesen</w:t>
            </w:r>
          </w:p>
        </w:tc>
        <w:tc>
          <w:tcPr>
            <w:tcW w:w="2551" w:type="dxa"/>
          </w:tcPr>
          <w:p w:rsidR="00E93F21" w:rsidRPr="00301A06" w:rsidRDefault="00E93F21" w:rsidP="00301A06">
            <w:pPr>
              <w:keepNext/>
              <w:keepLines/>
              <w:spacing w:before="60" w:after="60"/>
              <w:jc w:val="right"/>
              <w:outlineLvl w:val="1"/>
              <w:rPr>
                <w:rFonts w:ascii="Times New Roman" w:hAnsi="Times New Roman" w:cs="Times New Roman"/>
                <w:b/>
              </w:rPr>
            </w:pPr>
            <w:r w:rsidRPr="00301A06">
              <w:rPr>
                <w:rFonts w:ascii="Times New Roman" w:hAnsi="Times New Roman" w:cs="Times New Roman"/>
                <w:b/>
              </w:rPr>
              <w:t>3.313.401 €</w:t>
            </w:r>
          </w:p>
        </w:tc>
        <w:tc>
          <w:tcPr>
            <w:tcW w:w="2300" w:type="dxa"/>
          </w:tcPr>
          <w:p w:rsidR="00E93F21" w:rsidRPr="00301A06" w:rsidRDefault="00E93F21" w:rsidP="00301A06">
            <w:pPr>
              <w:keepNext/>
              <w:keepLines/>
              <w:spacing w:before="60" w:after="60"/>
              <w:jc w:val="right"/>
              <w:outlineLvl w:val="1"/>
              <w:rPr>
                <w:rFonts w:ascii="Times New Roman" w:hAnsi="Times New Roman" w:cs="Times New Roman"/>
                <w:b/>
              </w:rPr>
            </w:pPr>
            <w:r w:rsidRPr="00301A06">
              <w:rPr>
                <w:rFonts w:ascii="Times New Roman" w:hAnsi="Times New Roman" w:cs="Times New Roman"/>
                <w:b/>
              </w:rPr>
              <w:t>2.964.431,50 €</w:t>
            </w:r>
          </w:p>
        </w:tc>
      </w:tr>
    </w:tbl>
    <w:p w:rsidR="00805717" w:rsidRPr="008B73A0" w:rsidRDefault="00805717" w:rsidP="00301A06">
      <w:pPr>
        <w:keepNext/>
        <w:keepLines/>
        <w:spacing w:before="200" w:after="60" w:line="360" w:lineRule="exact"/>
        <w:outlineLvl w:val="1"/>
        <w:rPr>
          <w:rFonts w:ascii="Times New Roman" w:hAnsi="Times New Roman" w:cs="Times New Roman"/>
          <w:b/>
          <w:i/>
          <w:sz w:val="24"/>
          <w:szCs w:val="24"/>
        </w:rPr>
      </w:pPr>
      <w:r w:rsidRPr="008B73A0">
        <w:rPr>
          <w:rFonts w:ascii="Times New Roman" w:hAnsi="Times New Roman" w:cs="Times New Roman"/>
          <w:b/>
          <w:i/>
          <w:sz w:val="24"/>
          <w:szCs w:val="24"/>
        </w:rPr>
        <w:t>Erasmus+ App 2.0. tender</w:t>
      </w:r>
    </w:p>
    <w:p w:rsid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 2017-ben lefejlesztett Erasmus+ Applikáció nemzetközi konzorciumi együttműködés keretében zajló továbbfejlesztésének célja az, hogy a 21. századi technológia lehetőségeit kihasználva támogassa a hallgatókat az Erasmus+ programban történő részvételük során a jelentkezéstől, a mobilitási időszak megvalósulásán keresztül a hazatérésig és a mobilitási időszak lezárásáig. </w:t>
      </w:r>
    </w:p>
    <w:p w:rsidR="00805717" w:rsidRPr="00805717" w:rsidRDefault="008B73A0" w:rsidP="00C03F01">
      <w:pPr>
        <w:keepNext/>
        <w:keepLines/>
        <w:spacing w:before="60" w:after="60" w:line="360" w:lineRule="exact"/>
        <w:jc w:val="both"/>
        <w:outlineLvl w:val="1"/>
        <w:rPr>
          <w:rFonts w:ascii="Times New Roman" w:hAnsi="Times New Roman" w:cs="Times New Roman"/>
          <w:sz w:val="24"/>
          <w:szCs w:val="24"/>
        </w:rPr>
      </w:pPr>
      <w:r>
        <w:rPr>
          <w:rFonts w:ascii="Times New Roman" w:hAnsi="Times New Roman" w:cs="Times New Roman"/>
          <w:sz w:val="24"/>
          <w:szCs w:val="24"/>
        </w:rPr>
        <w:t>Az</w:t>
      </w:r>
      <w:r w:rsidR="00805717" w:rsidRPr="00805717">
        <w:rPr>
          <w:rFonts w:ascii="Times New Roman" w:hAnsi="Times New Roman" w:cs="Times New Roman"/>
          <w:sz w:val="24"/>
          <w:szCs w:val="24"/>
        </w:rPr>
        <w:t xml:space="preserve"> ELTE által vezetett konzorcium az Európai Bizottság Ifjúságért, Oktatásért és Erasmus+-ért felelős egységével (DG EAC) szoros együttműködésben az alábbi tevékenységeket végezte el 2020-ban:</w:t>
      </w:r>
    </w:p>
    <w:p w:rsidR="00805717" w:rsidRPr="00805717" w:rsidRDefault="00805717" w:rsidP="00301A06">
      <w:pPr>
        <w:keepNext/>
        <w:keepLines/>
        <w:spacing w:after="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 funkcionalitásában és kinézetében megújult applikáció és weboldal első verziójának közzététele</w:t>
      </w:r>
    </w:p>
    <w:p w:rsidR="00805717" w:rsidRPr="00805717" w:rsidRDefault="00805717" w:rsidP="00301A06">
      <w:pPr>
        <w:keepNext/>
        <w:keepLines/>
        <w:spacing w:after="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az alkalmazás rendszeres frissítéseinek keretében megvalósuló további funkcióbővítésekhez szükséges fejlesztési munkálatok előkészítése</w:t>
      </w:r>
    </w:p>
    <w:p w:rsidR="00805717" w:rsidRDefault="00805717" w:rsidP="00301A06">
      <w:pPr>
        <w:keepNext/>
        <w:keepLines/>
        <w:spacing w:after="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lastRenderedPageBreak/>
        <w:t>•</w:t>
      </w:r>
      <w:r w:rsidRPr="00805717">
        <w:rPr>
          <w:rFonts w:ascii="Times New Roman" w:hAnsi="Times New Roman" w:cs="Times New Roman"/>
          <w:sz w:val="24"/>
          <w:szCs w:val="24"/>
        </w:rPr>
        <w:tab/>
        <w:t xml:space="preserve">az applikáció népszerűsítése a felhasználók (Erasmus+ mobilitásban potenciálisan résztvevők, felsőoktatási intézmények, Erasmus+ Nemzeti Irodák) körében (közösségi média csatornák, webináriumok keretében)  </w:t>
      </w:r>
    </w:p>
    <w:p w:rsidR="00805717" w:rsidRPr="00301A06" w:rsidRDefault="00805717" w:rsidP="00C03F01">
      <w:pPr>
        <w:keepNext/>
        <w:keepLines/>
        <w:spacing w:before="60" w:after="60" w:line="360" w:lineRule="exact"/>
        <w:jc w:val="both"/>
        <w:outlineLvl w:val="1"/>
        <w:rPr>
          <w:rFonts w:ascii="Times New Roman" w:hAnsi="Times New Roman" w:cs="Times New Roman"/>
          <w:i/>
          <w:sz w:val="24"/>
          <w:szCs w:val="24"/>
        </w:rPr>
      </w:pPr>
      <w:r w:rsidRPr="00026D2E">
        <w:rPr>
          <w:rFonts w:ascii="Times New Roman" w:hAnsi="Times New Roman" w:cs="Times New Roman"/>
          <w:i/>
          <w:sz w:val="24"/>
          <w:szCs w:val="24"/>
        </w:rPr>
        <w:t xml:space="preserve">Konzorciumi tagok: </w:t>
      </w:r>
      <w:r w:rsidRPr="00805717">
        <w:rPr>
          <w:rFonts w:ascii="Times New Roman" w:hAnsi="Times New Roman" w:cs="Times New Roman"/>
          <w:sz w:val="24"/>
          <w:szCs w:val="24"/>
        </w:rPr>
        <w:t>ELTE; EUF (European University Foundation); ESN (Erasmus Students Network) + alvállalkozók: EWX (Eworx), AUTh  (Aristotle University of Thessaloniki)</w:t>
      </w:r>
    </w:p>
    <w:p w:rsidR="00805717" w:rsidRPr="00301A06" w:rsidRDefault="00805717" w:rsidP="00C03F01">
      <w:pPr>
        <w:keepNext/>
        <w:keepLines/>
        <w:spacing w:before="60" w:after="60" w:line="360" w:lineRule="exact"/>
        <w:jc w:val="both"/>
        <w:outlineLvl w:val="1"/>
        <w:rPr>
          <w:rFonts w:ascii="Times New Roman" w:hAnsi="Times New Roman" w:cs="Times New Roman"/>
          <w:i/>
          <w:sz w:val="24"/>
          <w:szCs w:val="24"/>
        </w:rPr>
      </w:pPr>
      <w:r w:rsidRPr="00026D2E">
        <w:rPr>
          <w:rFonts w:ascii="Times New Roman" w:hAnsi="Times New Roman" w:cs="Times New Roman"/>
          <w:i/>
          <w:sz w:val="24"/>
          <w:szCs w:val="24"/>
        </w:rPr>
        <w:t xml:space="preserve">Megvalósítási időtartam: </w:t>
      </w:r>
      <w:r w:rsidRPr="00805717">
        <w:rPr>
          <w:rFonts w:ascii="Times New Roman" w:hAnsi="Times New Roman" w:cs="Times New Roman"/>
          <w:sz w:val="24"/>
          <w:szCs w:val="24"/>
        </w:rPr>
        <w:t>30+2 hónap (2019. december - 2022. június + 2 hónap a záróbeszámolóra)</w:t>
      </w:r>
    </w:p>
    <w:p w:rsidR="00252EE6" w:rsidRPr="00301A06" w:rsidRDefault="00805717" w:rsidP="00301A06">
      <w:pPr>
        <w:keepNext/>
        <w:keepLines/>
        <w:spacing w:before="60" w:line="360" w:lineRule="exact"/>
        <w:jc w:val="both"/>
        <w:outlineLvl w:val="1"/>
        <w:rPr>
          <w:rFonts w:ascii="Times New Roman" w:hAnsi="Times New Roman" w:cs="Times New Roman"/>
          <w:sz w:val="24"/>
          <w:szCs w:val="24"/>
        </w:rPr>
      </w:pPr>
      <w:r w:rsidRPr="00026D2E">
        <w:rPr>
          <w:rFonts w:ascii="Times New Roman" w:hAnsi="Times New Roman" w:cs="Times New Roman"/>
          <w:i/>
          <w:sz w:val="24"/>
          <w:szCs w:val="24"/>
        </w:rPr>
        <w:t>ELTE költségvetés/ teljes költségvetés:</w:t>
      </w:r>
      <w:r w:rsidR="00301A06">
        <w:rPr>
          <w:rFonts w:ascii="Times New Roman" w:hAnsi="Times New Roman" w:cs="Times New Roman"/>
          <w:sz w:val="24"/>
          <w:szCs w:val="24"/>
        </w:rPr>
        <w:t xml:space="preserve"> 167 400 EUR/ 996 320 EUR</w:t>
      </w:r>
    </w:p>
    <w:p w:rsidR="00C03F01" w:rsidRDefault="00805717" w:rsidP="00C03F01">
      <w:pPr>
        <w:spacing w:before="60" w:after="60" w:line="360" w:lineRule="exact"/>
        <w:rPr>
          <w:rFonts w:ascii="Times New Roman" w:hAnsi="Times New Roman" w:cs="Times New Roman"/>
          <w:b/>
          <w:i/>
          <w:sz w:val="24"/>
          <w:szCs w:val="24"/>
        </w:rPr>
      </w:pPr>
      <w:r w:rsidRPr="008B73A0">
        <w:rPr>
          <w:rFonts w:ascii="Times New Roman" w:hAnsi="Times New Roman" w:cs="Times New Roman"/>
          <w:b/>
          <w:i/>
          <w:sz w:val="24"/>
          <w:szCs w:val="24"/>
        </w:rPr>
        <w:t>Erasmus+ Stratégiai Partnerségek</w:t>
      </w:r>
    </w:p>
    <w:p w:rsidR="00252EE6" w:rsidRDefault="00805717" w:rsidP="00301A06">
      <w:pPr>
        <w:spacing w:before="60" w:line="360" w:lineRule="exact"/>
        <w:jc w:val="both"/>
        <w:rPr>
          <w:rFonts w:ascii="Times New Roman" w:hAnsi="Times New Roman" w:cs="Times New Roman"/>
          <w:sz w:val="24"/>
          <w:szCs w:val="24"/>
        </w:rPr>
      </w:pPr>
      <w:r w:rsidRPr="00805717">
        <w:rPr>
          <w:rFonts w:ascii="Times New Roman" w:hAnsi="Times New Roman" w:cs="Times New Roman"/>
          <w:sz w:val="24"/>
          <w:szCs w:val="24"/>
        </w:rPr>
        <w:t>A 2020-es évben az alábbi fő eseményekre került sor a mobilitáshoz k</w:t>
      </w:r>
      <w:r>
        <w:rPr>
          <w:rFonts w:ascii="Times New Roman" w:hAnsi="Times New Roman" w:cs="Times New Roman"/>
          <w:sz w:val="24"/>
          <w:szCs w:val="24"/>
        </w:rPr>
        <w:t xml:space="preserve">ötődő partnerségi projektekben:  </w:t>
      </w:r>
    </w:p>
    <w:p w:rsidR="00252EE6" w:rsidRPr="00966C11" w:rsidRDefault="00805717" w:rsidP="00252EE6">
      <w:pPr>
        <w:spacing w:before="60" w:after="60" w:line="360" w:lineRule="exact"/>
        <w:jc w:val="both"/>
        <w:rPr>
          <w:rFonts w:ascii="Times New Roman" w:hAnsi="Times New Roman" w:cs="Times New Roman"/>
          <w:sz w:val="24"/>
          <w:szCs w:val="24"/>
          <w:u w:val="single"/>
        </w:rPr>
      </w:pPr>
      <w:r w:rsidRPr="00966C11">
        <w:rPr>
          <w:rFonts w:ascii="Times New Roman" w:hAnsi="Times New Roman" w:cs="Times New Roman"/>
          <w:sz w:val="24"/>
          <w:szCs w:val="24"/>
          <w:u w:val="single"/>
        </w:rPr>
        <w:t>Teach with Erasmus+</w:t>
      </w:r>
      <w:r w:rsidR="00026D2E" w:rsidRPr="00966C11">
        <w:rPr>
          <w:rFonts w:ascii="Times New Roman" w:hAnsi="Times New Roman" w:cs="Times New Roman"/>
          <w:sz w:val="24"/>
          <w:szCs w:val="24"/>
          <w:u w:val="single"/>
        </w:rPr>
        <w:t xml:space="preserve"> </w:t>
      </w:r>
    </w:p>
    <w:p w:rsidR="00421266" w:rsidRDefault="00252EE6" w:rsidP="00421266">
      <w:pPr>
        <w:spacing w:before="60" w:after="60" w:line="240" w:lineRule="auto"/>
        <w:jc w:val="both"/>
        <w:rPr>
          <w:rFonts w:ascii="Times New Roman" w:hAnsi="Times New Roman" w:cs="Times New Roman"/>
          <w:sz w:val="24"/>
          <w:szCs w:val="24"/>
        </w:rPr>
      </w:pPr>
      <w:r>
        <w:rPr>
          <w:rFonts w:ascii="Times New Roman" w:hAnsi="Times New Roman" w:cs="Times New Roman"/>
          <w:i/>
          <w:sz w:val="24"/>
          <w:szCs w:val="24"/>
        </w:rPr>
        <w:t>F</w:t>
      </w:r>
      <w:r w:rsidR="00805717" w:rsidRPr="00026D2E">
        <w:rPr>
          <w:rFonts w:ascii="Times New Roman" w:hAnsi="Times New Roman" w:cs="Times New Roman"/>
          <w:i/>
          <w:sz w:val="24"/>
          <w:szCs w:val="24"/>
        </w:rPr>
        <w:t>utamidő</w:t>
      </w:r>
      <w:r w:rsidR="00805717" w:rsidRPr="00805717">
        <w:rPr>
          <w:rFonts w:ascii="Times New Roman" w:hAnsi="Times New Roman" w:cs="Times New Roman"/>
          <w:sz w:val="24"/>
          <w:szCs w:val="24"/>
        </w:rPr>
        <w:t xml:space="preserve">: 2018.11.01-2021.08.1.; </w:t>
      </w:r>
      <w:r w:rsidR="00805717" w:rsidRPr="00026D2E">
        <w:rPr>
          <w:rFonts w:ascii="Times New Roman" w:hAnsi="Times New Roman" w:cs="Times New Roman"/>
          <w:i/>
          <w:sz w:val="24"/>
          <w:szCs w:val="24"/>
        </w:rPr>
        <w:t>ELTE költségvetés</w:t>
      </w:r>
      <w:r w:rsidR="00805717" w:rsidRPr="008B73A0">
        <w:rPr>
          <w:rFonts w:ascii="Times New Roman" w:hAnsi="Times New Roman" w:cs="Times New Roman"/>
          <w:sz w:val="24"/>
          <w:szCs w:val="24"/>
        </w:rPr>
        <w:t>:</w:t>
      </w:r>
      <w:r w:rsidR="00805717" w:rsidRPr="00805717">
        <w:rPr>
          <w:rFonts w:ascii="Times New Roman" w:hAnsi="Times New Roman" w:cs="Times New Roman"/>
          <w:sz w:val="24"/>
          <w:szCs w:val="24"/>
        </w:rPr>
        <w:t xml:space="preserve"> 38 790 EUR)</w:t>
      </w:r>
    </w:p>
    <w:p w:rsidR="00421266" w:rsidRDefault="00805717" w:rsidP="00421266">
      <w:pPr>
        <w:spacing w:before="60" w:after="60" w:line="240" w:lineRule="auto"/>
        <w:ind w:left="340" w:hanging="340"/>
        <w:jc w:val="both"/>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Az ELTE vezetésével kutatás az oktatói mobilitások minőségfejlesztéséről, a motiváló és akadályozó tényezőkről, valamint Minőség- és Hatásmérő Eszköz létrehozása a</w:t>
      </w:r>
      <w:r w:rsidR="00301A06">
        <w:rPr>
          <w:rFonts w:ascii="Times New Roman" w:hAnsi="Times New Roman" w:cs="Times New Roman"/>
          <w:sz w:val="24"/>
          <w:szCs w:val="24"/>
        </w:rPr>
        <w:t>z oktatói mobilitások mérésére.</w:t>
      </w:r>
    </w:p>
    <w:p w:rsidR="00421266" w:rsidRDefault="00805717" w:rsidP="00421266">
      <w:pPr>
        <w:spacing w:before="60" w:after="60" w:line="240" w:lineRule="auto"/>
        <w:ind w:left="340" w:hanging="340"/>
        <w:jc w:val="both"/>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Quality Teaching Mobility nemzetközi konferencia, oktatói mobilitási platform tesztverziójának bemutatása, közel 100 fő részvételével.</w:t>
      </w:r>
    </w:p>
    <w:p w:rsidR="00301A06" w:rsidRDefault="00805717" w:rsidP="00301A06">
      <w:pPr>
        <w:spacing w:after="120" w:line="240" w:lineRule="auto"/>
        <w:ind w:left="340" w:hanging="340"/>
        <w:jc w:val="both"/>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 xml:space="preserve">A projekt költségvetésének módosítása 264.815 euróról 264.182 euróra, költségvetési kategóriák közöti átcsoportosítás a COVID-19 miatt </w:t>
      </w:r>
      <w:r w:rsidR="00301A06">
        <w:rPr>
          <w:rFonts w:ascii="Times New Roman" w:hAnsi="Times New Roman" w:cs="Times New Roman"/>
          <w:sz w:val="24"/>
          <w:szCs w:val="24"/>
        </w:rPr>
        <w:t>és a platform-fejlesztés miatt.</w:t>
      </w:r>
    </w:p>
    <w:p w:rsidR="00301A06" w:rsidRPr="00966C11" w:rsidRDefault="00301A06" w:rsidP="00966C11">
      <w:pPr>
        <w:spacing w:before="60" w:after="60" w:line="360" w:lineRule="exact"/>
        <w:jc w:val="both"/>
        <w:rPr>
          <w:rFonts w:ascii="Times New Roman" w:hAnsi="Times New Roman" w:cs="Times New Roman"/>
          <w:sz w:val="24"/>
          <w:szCs w:val="24"/>
          <w:u w:val="single"/>
        </w:rPr>
      </w:pPr>
      <w:r w:rsidRPr="00966C11">
        <w:rPr>
          <w:rFonts w:ascii="Times New Roman" w:hAnsi="Times New Roman" w:cs="Times New Roman"/>
          <w:sz w:val="24"/>
          <w:szCs w:val="24"/>
          <w:u w:val="single"/>
        </w:rPr>
        <w:t xml:space="preserve">UNI-ECO </w:t>
      </w:r>
    </w:p>
    <w:p w:rsidR="00301A06" w:rsidRPr="00805717" w:rsidRDefault="00301A06" w:rsidP="00301A06">
      <w:pPr>
        <w:keepNext/>
        <w:keepLines/>
        <w:spacing w:before="60" w:after="60" w:line="360" w:lineRule="exact"/>
        <w:jc w:val="both"/>
        <w:outlineLvl w:val="1"/>
        <w:rPr>
          <w:rFonts w:ascii="Times New Roman" w:hAnsi="Times New Roman" w:cs="Times New Roman"/>
          <w:sz w:val="24"/>
          <w:szCs w:val="24"/>
        </w:rPr>
      </w:pPr>
      <w:r>
        <w:rPr>
          <w:rFonts w:ascii="Times New Roman" w:hAnsi="Times New Roman" w:cs="Times New Roman"/>
          <w:sz w:val="24"/>
          <w:szCs w:val="24"/>
        </w:rPr>
        <w:t>(</w:t>
      </w:r>
      <w:r w:rsidRPr="00026D2E">
        <w:rPr>
          <w:rFonts w:ascii="Times New Roman" w:hAnsi="Times New Roman" w:cs="Times New Roman"/>
          <w:i/>
          <w:sz w:val="24"/>
          <w:szCs w:val="24"/>
        </w:rPr>
        <w:t>Futamidő</w:t>
      </w:r>
      <w:r w:rsidRPr="00805717">
        <w:rPr>
          <w:rFonts w:ascii="Times New Roman" w:hAnsi="Times New Roman" w:cs="Times New Roman"/>
          <w:sz w:val="24"/>
          <w:szCs w:val="24"/>
        </w:rPr>
        <w:t xml:space="preserve">: 2019.10.01-2022.08.31.; </w:t>
      </w:r>
      <w:r w:rsidRPr="00026D2E">
        <w:rPr>
          <w:rFonts w:ascii="Times New Roman" w:hAnsi="Times New Roman" w:cs="Times New Roman"/>
          <w:i/>
          <w:sz w:val="24"/>
          <w:szCs w:val="24"/>
        </w:rPr>
        <w:t>ELTE költségvetés</w:t>
      </w:r>
      <w:r w:rsidRPr="00805717">
        <w:rPr>
          <w:rFonts w:ascii="Times New Roman" w:hAnsi="Times New Roman" w:cs="Times New Roman"/>
          <w:sz w:val="24"/>
          <w:szCs w:val="24"/>
        </w:rPr>
        <w:t xml:space="preserve">: 38 548 EUR) </w:t>
      </w:r>
    </w:p>
    <w:p w:rsidR="00301A06" w:rsidRDefault="00301A06" w:rsidP="00301A06">
      <w:pPr>
        <w:keepNext/>
        <w:keepLines/>
        <w:spacing w:before="60" w:after="12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Az ELTE vezetésével fenntarthatósági jelentés a CHARM-EU par</w:t>
      </w:r>
      <w:r>
        <w:rPr>
          <w:rFonts w:ascii="Times New Roman" w:hAnsi="Times New Roman" w:cs="Times New Roman"/>
          <w:sz w:val="24"/>
          <w:szCs w:val="24"/>
        </w:rPr>
        <w:t>tneregyetemek felmérésével.</w:t>
      </w:r>
    </w:p>
    <w:p w:rsidR="00301A06" w:rsidRPr="00966C11" w:rsidRDefault="00301A06" w:rsidP="00966C11">
      <w:pPr>
        <w:spacing w:before="60" w:after="60" w:line="360" w:lineRule="exact"/>
        <w:jc w:val="both"/>
        <w:rPr>
          <w:rFonts w:ascii="Times New Roman" w:hAnsi="Times New Roman" w:cs="Times New Roman"/>
          <w:sz w:val="24"/>
          <w:szCs w:val="24"/>
          <w:u w:val="single"/>
        </w:rPr>
      </w:pPr>
      <w:r w:rsidRPr="00966C11">
        <w:rPr>
          <w:rFonts w:ascii="Times New Roman" w:hAnsi="Times New Roman" w:cs="Times New Roman"/>
          <w:sz w:val="24"/>
          <w:szCs w:val="24"/>
          <w:u w:val="single"/>
        </w:rPr>
        <w:t xml:space="preserve">NORM </w:t>
      </w:r>
    </w:p>
    <w:p w:rsidR="00301A06" w:rsidRPr="00805717" w:rsidRDefault="00301A06" w:rsidP="00301A06">
      <w:pPr>
        <w:keepNext/>
        <w:keepLines/>
        <w:spacing w:before="60" w:after="60" w:line="360" w:lineRule="exact"/>
        <w:jc w:val="both"/>
        <w:outlineLvl w:val="1"/>
        <w:rPr>
          <w:rFonts w:ascii="Times New Roman" w:hAnsi="Times New Roman" w:cs="Times New Roman"/>
          <w:sz w:val="24"/>
          <w:szCs w:val="24"/>
        </w:rPr>
      </w:pPr>
      <w:r>
        <w:rPr>
          <w:rFonts w:ascii="Times New Roman" w:hAnsi="Times New Roman" w:cs="Times New Roman"/>
          <w:sz w:val="24"/>
          <w:szCs w:val="24"/>
        </w:rPr>
        <w:t>(</w:t>
      </w:r>
      <w:r w:rsidRPr="00026D2E">
        <w:rPr>
          <w:rFonts w:ascii="Times New Roman" w:hAnsi="Times New Roman" w:cs="Times New Roman"/>
          <w:i/>
          <w:sz w:val="24"/>
          <w:szCs w:val="24"/>
        </w:rPr>
        <w:t>Futamidő</w:t>
      </w:r>
      <w:r w:rsidRPr="00805717">
        <w:rPr>
          <w:rFonts w:ascii="Times New Roman" w:hAnsi="Times New Roman" w:cs="Times New Roman"/>
          <w:sz w:val="24"/>
          <w:szCs w:val="24"/>
        </w:rPr>
        <w:t xml:space="preserve">: 2019.10.01-2022.06.30.; </w:t>
      </w:r>
      <w:r w:rsidRPr="00026D2E">
        <w:rPr>
          <w:rFonts w:ascii="Times New Roman" w:hAnsi="Times New Roman" w:cs="Times New Roman"/>
          <w:i/>
          <w:sz w:val="24"/>
          <w:szCs w:val="24"/>
        </w:rPr>
        <w:t>ELTE költségvetés</w:t>
      </w:r>
      <w:r w:rsidRPr="00805717">
        <w:rPr>
          <w:rFonts w:ascii="Times New Roman" w:hAnsi="Times New Roman" w:cs="Times New Roman"/>
          <w:sz w:val="24"/>
          <w:szCs w:val="24"/>
        </w:rPr>
        <w:t>: 29 242 EUR):</w:t>
      </w:r>
    </w:p>
    <w:p w:rsidR="00301A06" w:rsidRDefault="00301A06" w:rsidP="00301A06">
      <w:pPr>
        <w:keepNext/>
        <w:keepLines/>
        <w:spacing w:before="60" w:after="12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Az Université de Versailles Saint-Quentin-en-Yvelines vezetésével kutatás a hallgatói mobilitás típusairól, a mobilitási ablak lehetőségeiről, a hallgatói és mun</w:t>
      </w:r>
      <w:r>
        <w:rPr>
          <w:rFonts w:ascii="Times New Roman" w:hAnsi="Times New Roman" w:cs="Times New Roman"/>
          <w:sz w:val="24"/>
          <w:szCs w:val="24"/>
        </w:rPr>
        <w:t>katársi mobilitás akadályairól.</w:t>
      </w:r>
    </w:p>
    <w:p w:rsidR="00301A06" w:rsidRPr="00966C11" w:rsidRDefault="00301A06" w:rsidP="00966C11">
      <w:pPr>
        <w:spacing w:before="60" w:after="60" w:line="360" w:lineRule="exact"/>
        <w:jc w:val="both"/>
        <w:rPr>
          <w:rFonts w:ascii="Times New Roman" w:hAnsi="Times New Roman" w:cs="Times New Roman"/>
          <w:sz w:val="24"/>
          <w:szCs w:val="24"/>
          <w:u w:val="single"/>
        </w:rPr>
      </w:pPr>
      <w:r w:rsidRPr="00966C11">
        <w:rPr>
          <w:rFonts w:ascii="Times New Roman" w:hAnsi="Times New Roman" w:cs="Times New Roman"/>
          <w:sz w:val="24"/>
          <w:szCs w:val="24"/>
          <w:u w:val="single"/>
        </w:rPr>
        <w:t xml:space="preserve">How long is too long? </w:t>
      </w:r>
    </w:p>
    <w:p w:rsidR="00301A06" w:rsidRPr="00805717" w:rsidRDefault="00301A06" w:rsidP="00301A06">
      <w:pPr>
        <w:keepNext/>
        <w:keepLines/>
        <w:spacing w:before="60" w:after="60" w:line="360" w:lineRule="exact"/>
        <w:jc w:val="both"/>
        <w:outlineLvl w:val="1"/>
        <w:rPr>
          <w:rFonts w:ascii="Times New Roman" w:hAnsi="Times New Roman" w:cs="Times New Roman"/>
          <w:sz w:val="24"/>
          <w:szCs w:val="24"/>
        </w:rPr>
      </w:pPr>
      <w:r>
        <w:rPr>
          <w:rFonts w:ascii="Times New Roman" w:hAnsi="Times New Roman" w:cs="Times New Roman"/>
          <w:sz w:val="24"/>
          <w:szCs w:val="24"/>
        </w:rPr>
        <w:t>(</w:t>
      </w:r>
      <w:r w:rsidRPr="00026D2E">
        <w:rPr>
          <w:rFonts w:ascii="Times New Roman" w:hAnsi="Times New Roman" w:cs="Times New Roman"/>
          <w:i/>
          <w:sz w:val="24"/>
          <w:szCs w:val="24"/>
        </w:rPr>
        <w:t>Futamidő</w:t>
      </w:r>
      <w:r w:rsidRPr="00805717">
        <w:rPr>
          <w:rFonts w:ascii="Times New Roman" w:hAnsi="Times New Roman" w:cs="Times New Roman"/>
          <w:sz w:val="24"/>
          <w:szCs w:val="24"/>
        </w:rPr>
        <w:t xml:space="preserve">: 2019.09.01-2022.04.30.; </w:t>
      </w:r>
      <w:r w:rsidRPr="00026D2E">
        <w:rPr>
          <w:rFonts w:ascii="Times New Roman" w:hAnsi="Times New Roman" w:cs="Times New Roman"/>
          <w:i/>
          <w:sz w:val="24"/>
          <w:szCs w:val="24"/>
        </w:rPr>
        <w:t>ELTE költségvetés:</w:t>
      </w:r>
      <w:r w:rsidRPr="00805717">
        <w:rPr>
          <w:rFonts w:ascii="Times New Roman" w:hAnsi="Times New Roman" w:cs="Times New Roman"/>
          <w:sz w:val="24"/>
          <w:szCs w:val="24"/>
        </w:rPr>
        <w:t xml:space="preserve"> 24 963 EUR):</w:t>
      </w:r>
    </w:p>
    <w:p w:rsidR="00301A06" w:rsidRDefault="00301A06" w:rsidP="00301A06">
      <w:pPr>
        <w:keepNext/>
        <w:keepLines/>
        <w:spacing w:before="60" w:after="60" w:line="360" w:lineRule="exact"/>
        <w:ind w:left="340" w:hanging="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Szisztematikus szakirodalmi áttekintés készítése a hossz és modalitás tekintetében nem hagyományos típusú hallgatói mobilitásokról az ELTE vezetésével.</w:t>
      </w:r>
    </w:p>
    <w:p w:rsidR="00301A06" w:rsidRDefault="00301A06" w:rsidP="00301A06">
      <w:pPr>
        <w:spacing w:after="0" w:line="240" w:lineRule="auto"/>
        <w:ind w:left="340" w:hanging="340"/>
        <w:jc w:val="both"/>
        <w:rPr>
          <w:rFonts w:ascii="Times New Roman" w:hAnsi="Times New Roman" w:cs="Times New Roman"/>
          <w:sz w:val="24"/>
          <w:szCs w:val="24"/>
        </w:rPr>
      </w:pPr>
    </w:p>
    <w:p w:rsidR="00421266" w:rsidRDefault="00421266" w:rsidP="00C03F01">
      <w:pPr>
        <w:keepNext/>
        <w:keepLines/>
        <w:spacing w:before="60" w:after="60" w:line="360" w:lineRule="exact"/>
        <w:jc w:val="both"/>
        <w:outlineLvl w:val="1"/>
        <w:rPr>
          <w:rFonts w:ascii="Times New Roman" w:hAnsi="Times New Roman" w:cs="Times New Roman"/>
          <w:b/>
          <w:sz w:val="24"/>
          <w:szCs w:val="24"/>
        </w:rPr>
      </w:pPr>
    </w:p>
    <w:p w:rsidR="00805717" w:rsidRPr="006D3F7B" w:rsidRDefault="00805717" w:rsidP="00C03F01">
      <w:pPr>
        <w:keepNext/>
        <w:keepLines/>
        <w:spacing w:before="60" w:after="60" w:line="360" w:lineRule="exact"/>
        <w:jc w:val="both"/>
        <w:outlineLvl w:val="1"/>
        <w:rPr>
          <w:rFonts w:ascii="Times New Roman" w:hAnsi="Times New Roman" w:cs="Times New Roman"/>
          <w:b/>
          <w:sz w:val="24"/>
          <w:szCs w:val="24"/>
        </w:rPr>
      </w:pPr>
      <w:r w:rsidRPr="00805717">
        <w:rPr>
          <w:rFonts w:ascii="Times New Roman" w:hAnsi="Times New Roman" w:cs="Times New Roman"/>
          <w:b/>
          <w:sz w:val="24"/>
          <w:szCs w:val="24"/>
        </w:rPr>
        <w:t>I.4.1.2. Európán kívüli mobilitások</w:t>
      </w:r>
    </w:p>
    <w:p w:rsidR="00805717" w:rsidRPr="008B73A0" w:rsidRDefault="00805717" w:rsidP="00C03F01">
      <w:pPr>
        <w:keepNext/>
        <w:keepLines/>
        <w:spacing w:before="60" w:after="60" w:line="360" w:lineRule="exact"/>
        <w:jc w:val="both"/>
        <w:outlineLvl w:val="1"/>
        <w:rPr>
          <w:rFonts w:ascii="Times New Roman" w:hAnsi="Times New Roman" w:cs="Times New Roman"/>
          <w:b/>
          <w:i/>
          <w:sz w:val="24"/>
          <w:szCs w:val="24"/>
        </w:rPr>
      </w:pPr>
      <w:r w:rsidRPr="008B73A0">
        <w:rPr>
          <w:rFonts w:ascii="Times New Roman" w:hAnsi="Times New Roman" w:cs="Times New Roman"/>
          <w:b/>
          <w:i/>
          <w:sz w:val="24"/>
          <w:szCs w:val="24"/>
        </w:rPr>
        <w:t>Erasmus+ program</w:t>
      </w:r>
    </w:p>
    <w:p w:rsidR="00805717" w:rsidRPr="00805717" w:rsidRDefault="004D4CC2" w:rsidP="00C03F01">
      <w:pPr>
        <w:keepNext/>
        <w:keepLines/>
        <w:spacing w:before="60" w:after="60" w:line="360" w:lineRule="exact"/>
        <w:jc w:val="both"/>
        <w:outlineLvl w:val="1"/>
        <w:rPr>
          <w:rFonts w:ascii="Times New Roman" w:hAnsi="Times New Roman" w:cs="Times New Roman"/>
          <w:sz w:val="24"/>
          <w:szCs w:val="24"/>
        </w:rPr>
      </w:pPr>
      <w:r>
        <w:rPr>
          <w:rFonts w:ascii="Times New Roman" w:hAnsi="Times New Roman" w:cs="Times New Roman"/>
          <w:sz w:val="24"/>
          <w:szCs w:val="24"/>
        </w:rPr>
        <w:t>A</w:t>
      </w:r>
      <w:r w:rsidR="00805717" w:rsidRPr="00805717">
        <w:rPr>
          <w:rFonts w:ascii="Times New Roman" w:hAnsi="Times New Roman" w:cs="Times New Roman"/>
          <w:sz w:val="24"/>
          <w:szCs w:val="24"/>
        </w:rPr>
        <w:t xml:space="preserve"> 2020-as évben két projekt párhuzamos megvalósítása zajlott:</w:t>
      </w:r>
    </w:p>
    <w:p w:rsidR="00805717" w:rsidRPr="00805717" w:rsidRDefault="00805717" w:rsidP="00C03F01">
      <w:pPr>
        <w:keepNext/>
        <w:keepLines/>
        <w:spacing w:before="60" w:after="60" w:line="360" w:lineRule="exact"/>
        <w:ind w:firstLine="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2018-21-es projekt (2018.06.01-2021.07.31.) – folyamatban</w:t>
      </w:r>
    </w:p>
    <w:p w:rsidR="00805717" w:rsidRPr="00805717" w:rsidRDefault="00805717" w:rsidP="00421266">
      <w:pPr>
        <w:keepNext/>
        <w:keepLines/>
        <w:spacing w:before="60" w:after="60" w:line="360" w:lineRule="exact"/>
        <w:ind w:left="340"/>
        <w:jc w:val="both"/>
        <w:outlineLvl w:val="1"/>
        <w:rPr>
          <w:rFonts w:ascii="Times New Roman" w:hAnsi="Times New Roman" w:cs="Times New Roman"/>
          <w:sz w:val="24"/>
          <w:szCs w:val="24"/>
        </w:rPr>
      </w:pPr>
      <w:r w:rsidRPr="00805717">
        <w:rPr>
          <w:rFonts w:ascii="Times New Roman" w:hAnsi="Times New Roman" w:cs="Times New Roman"/>
          <w:sz w:val="24"/>
          <w:szCs w:val="24"/>
        </w:rPr>
        <w:t>-</w:t>
      </w:r>
      <w:r w:rsidRPr="00805717">
        <w:rPr>
          <w:rFonts w:ascii="Times New Roman" w:hAnsi="Times New Roman" w:cs="Times New Roman"/>
          <w:sz w:val="24"/>
          <w:szCs w:val="24"/>
        </w:rPr>
        <w:tab/>
        <w:t>2019-22-es projekt (2019.0</w:t>
      </w:r>
      <w:r w:rsidR="00421266">
        <w:rPr>
          <w:rFonts w:ascii="Times New Roman" w:hAnsi="Times New Roman" w:cs="Times New Roman"/>
          <w:sz w:val="24"/>
          <w:szCs w:val="24"/>
        </w:rPr>
        <w:t>8.01-2022.07.31.) – folyamatban</w:t>
      </w:r>
    </w:p>
    <w:p w:rsid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 2018-21-es projekt teljes költségvetése: 529.812 €, melyet 17 országgal kell megvalósítani pontosan megadott mobilitási típusokra. </w:t>
      </w:r>
    </w:p>
    <w:p w:rsid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2019-22-es projekt teljes költségvetése 302.655 €, melyet 16 országgal történő mobilitásokra fordíthatunk.</w:t>
      </w:r>
    </w:p>
    <w:p w:rsidR="004D4CC2" w:rsidRPr="007134CF" w:rsidRDefault="00805717" w:rsidP="007134CF">
      <w:pPr>
        <w:keepNext/>
        <w:keepLines/>
        <w:spacing w:before="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2020-23-as projektre összesen 298.356 € támogatást nyertünk. Ezt a projektet 10 ország 18 egyetemével együttmű</w:t>
      </w:r>
      <w:r w:rsidR="007134CF">
        <w:rPr>
          <w:rFonts w:ascii="Times New Roman" w:hAnsi="Times New Roman" w:cs="Times New Roman"/>
          <w:sz w:val="24"/>
          <w:szCs w:val="24"/>
        </w:rPr>
        <w:t xml:space="preserve">ködésben fogjuk megvalósítani. </w:t>
      </w:r>
    </w:p>
    <w:p w:rsidR="00805717" w:rsidRPr="008B73A0" w:rsidRDefault="00805717" w:rsidP="00C03F01">
      <w:pPr>
        <w:keepNext/>
        <w:keepLines/>
        <w:spacing w:before="60" w:after="60" w:line="360" w:lineRule="exact"/>
        <w:jc w:val="both"/>
        <w:outlineLvl w:val="1"/>
        <w:rPr>
          <w:rFonts w:ascii="Times New Roman" w:hAnsi="Times New Roman" w:cs="Times New Roman"/>
          <w:b/>
          <w:i/>
          <w:sz w:val="24"/>
          <w:szCs w:val="24"/>
        </w:rPr>
      </w:pPr>
      <w:r w:rsidRPr="008B73A0">
        <w:rPr>
          <w:rFonts w:ascii="Times New Roman" w:hAnsi="Times New Roman" w:cs="Times New Roman"/>
          <w:b/>
          <w:i/>
          <w:sz w:val="24"/>
          <w:szCs w:val="24"/>
        </w:rPr>
        <w:t>CEEPUS (Central European Exchange Program for University Studies)</w:t>
      </w:r>
    </w:p>
    <w:p w:rsid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 CEEPUS programban közép-európai egyetemek hallgatói és oktatói vehetnek részt, a mobilitás az egyes tanszékek által létrehozott hálózatokon belül, vagy freemoverként történik. </w:t>
      </w:r>
    </w:p>
    <w:p w:rsidR="004D4CC2"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 2019/20-as tanév tavaszi félévében 10 nyertes és 2 tartalékos tanszéki hálózat működött. </w:t>
      </w:r>
    </w:p>
    <w:p w:rsidR="00805717" w:rsidRDefault="00805717" w:rsidP="00C03F01">
      <w:pPr>
        <w:keepNext/>
        <w:keepLines/>
        <w:spacing w:before="60" w:after="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 xml:space="preserve">A 2020/20-as tanévre 12 tanszéki hálózat nyert el támogatást. </w:t>
      </w:r>
    </w:p>
    <w:p w:rsidR="00845151" w:rsidRPr="007134CF" w:rsidRDefault="00805717" w:rsidP="007134CF">
      <w:pPr>
        <w:keepNext/>
        <w:keepLines/>
        <w:spacing w:before="60" w:line="360" w:lineRule="exact"/>
        <w:jc w:val="both"/>
        <w:outlineLvl w:val="1"/>
        <w:rPr>
          <w:rFonts w:ascii="Times New Roman" w:hAnsi="Times New Roman" w:cs="Times New Roman"/>
          <w:sz w:val="24"/>
          <w:szCs w:val="24"/>
        </w:rPr>
      </w:pPr>
      <w:r w:rsidRPr="00805717">
        <w:rPr>
          <w:rFonts w:ascii="Times New Roman" w:hAnsi="Times New Roman" w:cs="Times New Roman"/>
          <w:sz w:val="24"/>
          <w:szCs w:val="24"/>
        </w:rPr>
        <w:t>A beadott egyéni pályázatok alapján a 2020-as naptári évben 27 beutazás, valamint 21 kiutazás történt meg. (Hallgatók és oktatók</w:t>
      </w:r>
      <w:r w:rsidR="007134CF">
        <w:rPr>
          <w:rFonts w:ascii="Times New Roman" w:hAnsi="Times New Roman" w:cs="Times New Roman"/>
          <w:sz w:val="24"/>
          <w:szCs w:val="24"/>
        </w:rPr>
        <w:t xml:space="preserve">, rövid vagy féléves cseréje.) </w:t>
      </w:r>
    </w:p>
    <w:p w:rsidR="00805717" w:rsidRPr="008B73A0" w:rsidRDefault="00805717" w:rsidP="00C03F01">
      <w:pPr>
        <w:keepNext/>
        <w:keepLines/>
        <w:spacing w:before="60" w:after="60" w:line="360" w:lineRule="exact"/>
        <w:jc w:val="both"/>
        <w:outlineLvl w:val="1"/>
        <w:rPr>
          <w:rFonts w:ascii="Times New Roman" w:hAnsi="Times New Roman" w:cs="Times New Roman"/>
          <w:b/>
          <w:i/>
          <w:sz w:val="24"/>
          <w:szCs w:val="24"/>
        </w:rPr>
      </w:pPr>
      <w:r w:rsidRPr="008B73A0">
        <w:rPr>
          <w:rFonts w:ascii="Times New Roman" w:hAnsi="Times New Roman" w:cs="Times New Roman"/>
          <w:b/>
          <w:i/>
          <w:sz w:val="24"/>
          <w:szCs w:val="24"/>
        </w:rPr>
        <w:t>Campus Mundi</w:t>
      </w:r>
    </w:p>
    <w:p w:rsidR="003E686B" w:rsidRPr="007134CF" w:rsidRDefault="00805717" w:rsidP="007134CF">
      <w:pPr>
        <w:keepNext/>
        <w:keepLines/>
        <w:spacing w:before="60" w:line="360" w:lineRule="exact"/>
        <w:jc w:val="both"/>
        <w:outlineLvl w:val="1"/>
        <w:rPr>
          <w:rFonts w:ascii="Times New Roman" w:hAnsi="Times New Roman" w:cs="Times New Roman"/>
          <w:sz w:val="24"/>
          <w:szCs w:val="24"/>
          <w:highlight w:val="yellow"/>
        </w:rPr>
      </w:pPr>
      <w:r w:rsidRPr="00805717">
        <w:rPr>
          <w:rFonts w:ascii="Times New Roman" w:hAnsi="Times New Roman" w:cs="Times New Roman"/>
          <w:sz w:val="24"/>
          <w:szCs w:val="24"/>
        </w:rPr>
        <w:t>A Campus Mundi program keretében 2020-ban 54 hallgató utazott ki részképzésre vagy szakmai gyakorlatra. Ösztöndíjukat a Tempus Közalapítvány Campus Mundi programja fizette, Erasmus+ státuszt az ELTE biztosított az Erasmus+ országba kiutazó hallgatóknak</w:t>
      </w:r>
      <w:r w:rsidR="004D4CC2">
        <w:rPr>
          <w:rFonts w:ascii="Times New Roman" w:hAnsi="Times New Roman" w:cs="Times New Roman"/>
          <w:sz w:val="24"/>
          <w:szCs w:val="24"/>
        </w:rPr>
        <w:t>.</w:t>
      </w:r>
    </w:p>
    <w:p w:rsidR="003E686B" w:rsidRPr="003D4FCE" w:rsidRDefault="003E686B" w:rsidP="00966C11">
      <w:pPr>
        <w:spacing w:before="280" w:after="60" w:line="360" w:lineRule="exact"/>
        <w:jc w:val="both"/>
        <w:rPr>
          <w:b/>
          <w:sz w:val="24"/>
          <w:szCs w:val="24"/>
        </w:rPr>
      </w:pPr>
      <w:r w:rsidRPr="00707ED0">
        <w:rPr>
          <w:rFonts w:ascii="Times New Roman" w:hAnsi="Times New Roman" w:cs="Times New Roman"/>
          <w:b/>
          <w:sz w:val="24"/>
          <w:szCs w:val="24"/>
        </w:rPr>
        <w:t>I.4.2.</w:t>
      </w:r>
      <w:r w:rsidRPr="00707ED0">
        <w:rPr>
          <w:rFonts w:ascii="Times New Roman" w:hAnsi="Times New Roman" w:cs="Times New Roman"/>
          <w:b/>
          <w:sz w:val="24"/>
          <w:szCs w:val="24"/>
        </w:rPr>
        <w:tab/>
        <w:t>Új Nemzeti Kiválósági Program (ÚNKP)</w:t>
      </w:r>
    </w:p>
    <w:p w:rsidR="007134CF" w:rsidRDefault="003E686B" w:rsidP="00C03F01">
      <w:pPr>
        <w:spacing w:before="60" w:after="60" w:line="360" w:lineRule="exact"/>
        <w:jc w:val="both"/>
        <w:rPr>
          <w:rFonts w:ascii="Times New Roman" w:eastAsia="Verdana" w:hAnsi="Times New Roman" w:cs="Times New Roman"/>
          <w:sz w:val="24"/>
          <w:szCs w:val="24"/>
        </w:rPr>
      </w:pPr>
      <w:r w:rsidRPr="00837416">
        <w:rPr>
          <w:rFonts w:ascii="Times New Roman" w:eastAsia="Verdana" w:hAnsi="Times New Roman" w:cs="Times New Roman"/>
          <w:sz w:val="24"/>
          <w:szCs w:val="24"/>
        </w:rPr>
        <w:t>Az Új Nemzeti Kiválósági Program 2020/2021-es ciklusában mind az ösztöndíj kategóriák, de az ösztöndíjas ciklusok időtartama is bővült, a fiatal kutatók az egyes programok mentén 5, 6, 7 és 12 hónapos ösztöndíjra pályázhattak. Módosultak az elnyerhető ösztöndíjösszegek is, a graduális és doktori képzések pályázói és a Tehetséggel fel!  program fiatal kutatói 100.000,- Ft, a doktorvárományos és posztdoktor, valamint a Bolyai+ kategória nyertesei havonta 200.000,- Ft támogatásban részesülnek.</w:t>
      </w:r>
      <w:r>
        <w:rPr>
          <w:rFonts w:ascii="Times New Roman" w:eastAsia="Verdana" w:hAnsi="Times New Roman" w:cs="Times New Roman"/>
          <w:sz w:val="24"/>
          <w:szCs w:val="24"/>
        </w:rPr>
        <w:t xml:space="preserve"> </w:t>
      </w:r>
      <w:r w:rsidRPr="00837416">
        <w:rPr>
          <w:rFonts w:ascii="Times New Roman" w:eastAsia="Verdana" w:hAnsi="Times New Roman" w:cs="Times New Roman"/>
          <w:sz w:val="24"/>
          <w:szCs w:val="24"/>
        </w:rPr>
        <w:t xml:space="preserve">Az ELTÉ-n közel 1400-an kezdték meg a pályázatuk feltöltését a pályázatkezelő Portálra, a véglegesített, elbírált pályázatok száma megközelítette a 900-at. </w:t>
      </w:r>
    </w:p>
    <w:p w:rsidR="007134CF" w:rsidRDefault="007134CF" w:rsidP="00C03F01">
      <w:pPr>
        <w:spacing w:before="60" w:after="60" w:line="360" w:lineRule="exact"/>
        <w:jc w:val="both"/>
        <w:rPr>
          <w:rFonts w:ascii="Times New Roman" w:eastAsia="Verdana" w:hAnsi="Times New Roman" w:cs="Times New Roman"/>
          <w:sz w:val="24"/>
          <w:szCs w:val="24"/>
        </w:rPr>
      </w:pPr>
    </w:p>
    <w:p w:rsidR="00252EE6" w:rsidRPr="00837416" w:rsidRDefault="003E686B" w:rsidP="00C03F01">
      <w:pPr>
        <w:spacing w:before="60" w:after="60" w:line="360" w:lineRule="exact"/>
        <w:jc w:val="both"/>
        <w:rPr>
          <w:rFonts w:ascii="Times New Roman" w:eastAsia="Verdana" w:hAnsi="Times New Roman" w:cs="Times New Roman"/>
          <w:sz w:val="24"/>
          <w:szCs w:val="24"/>
        </w:rPr>
      </w:pPr>
      <w:r w:rsidRPr="00837416">
        <w:rPr>
          <w:rFonts w:ascii="Times New Roman" w:eastAsia="Verdana" w:hAnsi="Times New Roman" w:cs="Times New Roman"/>
          <w:sz w:val="24"/>
          <w:szCs w:val="24"/>
        </w:rPr>
        <w:lastRenderedPageBreak/>
        <w:t>A pályázati kategóriák nyerteseinek összlétszáma, és karok szerinti létszáma az alábbiak szerint alakult.</w:t>
      </w:r>
    </w:p>
    <w:tbl>
      <w:tblPr>
        <w:tblW w:w="7684" w:type="dxa"/>
        <w:jc w:val="center"/>
        <w:tblCellMar>
          <w:left w:w="70" w:type="dxa"/>
          <w:right w:w="70" w:type="dxa"/>
        </w:tblCellMar>
        <w:tblLook w:val="04A0" w:firstRow="1" w:lastRow="0" w:firstColumn="1" w:lastColumn="0" w:noHBand="0" w:noVBand="1"/>
      </w:tblPr>
      <w:tblGrid>
        <w:gridCol w:w="5665"/>
        <w:gridCol w:w="2019"/>
      </w:tblGrid>
      <w:tr w:rsidR="003E686B" w:rsidRPr="007134CF" w:rsidTr="00AD662F">
        <w:trPr>
          <w:trHeight w:val="251"/>
          <w:jc w:val="center"/>
        </w:trPr>
        <w:tc>
          <w:tcPr>
            <w:tcW w:w="566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E686B" w:rsidRPr="007134CF" w:rsidRDefault="003E686B" w:rsidP="007134CF">
            <w:pPr>
              <w:spacing w:before="60" w:after="0" w:line="240" w:lineRule="auto"/>
              <w:rPr>
                <w:rFonts w:ascii="Times New Roman" w:hAnsi="Times New Roman" w:cs="Times New Roman"/>
                <w:b/>
                <w:bCs/>
                <w:color w:val="000000"/>
                <w:lang w:eastAsia="hu-HU"/>
              </w:rPr>
            </w:pPr>
            <w:r w:rsidRPr="007134CF">
              <w:rPr>
                <w:rFonts w:ascii="Times New Roman" w:hAnsi="Times New Roman" w:cs="Times New Roman"/>
                <w:b/>
                <w:bCs/>
                <w:color w:val="000000"/>
                <w:lang w:eastAsia="hu-HU"/>
              </w:rPr>
              <w:t>Ösztöndíj kategóriák</w:t>
            </w:r>
          </w:p>
        </w:tc>
        <w:tc>
          <w:tcPr>
            <w:tcW w:w="2019" w:type="dxa"/>
            <w:tcBorders>
              <w:top w:val="single" w:sz="4" w:space="0" w:color="auto"/>
              <w:left w:val="nil"/>
              <w:bottom w:val="single" w:sz="4" w:space="0" w:color="auto"/>
              <w:right w:val="single" w:sz="4" w:space="0" w:color="auto"/>
            </w:tcBorders>
            <w:shd w:val="clear" w:color="000000" w:fill="D9D9D9"/>
            <w:noWrap/>
            <w:vAlign w:val="bottom"/>
            <w:hideMark/>
          </w:tcPr>
          <w:p w:rsidR="003E686B" w:rsidRPr="007134CF" w:rsidRDefault="003E686B" w:rsidP="007134CF">
            <w:pPr>
              <w:spacing w:before="60" w:after="0" w:line="240" w:lineRule="auto"/>
              <w:jc w:val="center"/>
              <w:rPr>
                <w:rFonts w:ascii="Times New Roman" w:hAnsi="Times New Roman" w:cs="Times New Roman"/>
                <w:b/>
                <w:bCs/>
                <w:color w:val="000000"/>
                <w:lang w:eastAsia="hu-HU"/>
              </w:rPr>
            </w:pPr>
            <w:r w:rsidRPr="007134CF">
              <w:rPr>
                <w:rFonts w:ascii="Times New Roman" w:hAnsi="Times New Roman" w:cs="Times New Roman"/>
                <w:b/>
                <w:bCs/>
                <w:color w:val="000000"/>
                <w:lang w:eastAsia="hu-HU"/>
              </w:rPr>
              <w:t>Nyertesek száma</w:t>
            </w:r>
          </w:p>
        </w:tc>
      </w:tr>
      <w:tr w:rsidR="003E686B" w:rsidRPr="007134CF" w:rsidTr="00AD662F">
        <w:trPr>
          <w:trHeight w:val="251"/>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ÚNKP-20-1 (A keret alapképzés)</w:t>
            </w:r>
          </w:p>
        </w:tc>
        <w:tc>
          <w:tcPr>
            <w:tcW w:w="2019" w:type="dxa"/>
            <w:tcBorders>
              <w:top w:val="nil"/>
              <w:left w:val="nil"/>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18</w:t>
            </w:r>
          </w:p>
        </w:tc>
      </w:tr>
      <w:tr w:rsidR="003E686B" w:rsidRPr="007134CF" w:rsidTr="00AD662F">
        <w:trPr>
          <w:trHeight w:val="251"/>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ÚNKP-20-2 (A keret mesterképzés)</w:t>
            </w:r>
          </w:p>
        </w:tc>
        <w:tc>
          <w:tcPr>
            <w:tcW w:w="2019" w:type="dxa"/>
            <w:tcBorders>
              <w:top w:val="nil"/>
              <w:left w:val="nil"/>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50</w:t>
            </w:r>
          </w:p>
        </w:tc>
      </w:tr>
      <w:tr w:rsidR="003E686B" w:rsidRPr="007134CF" w:rsidTr="00AD662F">
        <w:trPr>
          <w:trHeight w:val="251"/>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ÚNKP-20-3 (B keret doktori hallgató)</w:t>
            </w:r>
          </w:p>
        </w:tc>
        <w:tc>
          <w:tcPr>
            <w:tcW w:w="2019" w:type="dxa"/>
            <w:tcBorders>
              <w:top w:val="nil"/>
              <w:left w:val="nil"/>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123</w:t>
            </w:r>
          </w:p>
        </w:tc>
      </w:tr>
      <w:tr w:rsidR="003E686B" w:rsidRPr="007134CF" w:rsidTr="00AD662F">
        <w:trPr>
          <w:trHeight w:val="251"/>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ÚNKP-20-4 (C keret doktorvárományos és posztdoktor)</w:t>
            </w:r>
          </w:p>
        </w:tc>
        <w:tc>
          <w:tcPr>
            <w:tcW w:w="2019" w:type="dxa"/>
            <w:tcBorders>
              <w:top w:val="nil"/>
              <w:left w:val="nil"/>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56</w:t>
            </w:r>
          </w:p>
        </w:tc>
      </w:tr>
      <w:tr w:rsidR="003E686B" w:rsidRPr="007134CF" w:rsidTr="00AD662F">
        <w:trPr>
          <w:trHeight w:val="251"/>
          <w:jc w:val="center"/>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ÚNKP-20-5 (Bolyai+ keret)</w:t>
            </w:r>
          </w:p>
        </w:tc>
        <w:tc>
          <w:tcPr>
            <w:tcW w:w="2019" w:type="dxa"/>
            <w:tcBorders>
              <w:top w:val="nil"/>
              <w:left w:val="nil"/>
              <w:bottom w:val="single" w:sz="4" w:space="0" w:color="auto"/>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58</w:t>
            </w:r>
          </w:p>
        </w:tc>
      </w:tr>
      <w:tr w:rsidR="003E686B" w:rsidRPr="007134CF" w:rsidTr="00AD662F">
        <w:trPr>
          <w:trHeight w:val="251"/>
          <w:jc w:val="center"/>
        </w:trPr>
        <w:tc>
          <w:tcPr>
            <w:tcW w:w="5665" w:type="dxa"/>
            <w:tcBorders>
              <w:top w:val="nil"/>
              <w:left w:val="single" w:sz="4" w:space="0" w:color="auto"/>
              <w:bottom w:val="nil"/>
              <w:right w:val="single" w:sz="4" w:space="0" w:color="auto"/>
            </w:tcBorders>
            <w:shd w:val="clear" w:color="auto" w:fill="auto"/>
            <w:noWrap/>
            <w:vAlign w:val="bottom"/>
            <w:hideMark/>
          </w:tcPr>
          <w:p w:rsidR="003E686B" w:rsidRPr="007134CF" w:rsidRDefault="003E686B" w:rsidP="007134CF">
            <w:pPr>
              <w:spacing w:before="60" w:after="0" w:line="240" w:lineRule="auto"/>
              <w:rPr>
                <w:rFonts w:ascii="Times New Roman" w:hAnsi="Times New Roman" w:cs="Times New Roman"/>
                <w:color w:val="000000"/>
                <w:lang w:eastAsia="hu-HU"/>
              </w:rPr>
            </w:pPr>
            <w:r w:rsidRPr="007134CF">
              <w:rPr>
                <w:rFonts w:ascii="Times New Roman" w:hAnsi="Times New Roman" w:cs="Times New Roman"/>
                <w:color w:val="000000"/>
                <w:lang w:eastAsia="hu-HU"/>
              </w:rPr>
              <w:t>ÚNKP-20-6 (Tehetséggel fel! Keret)</w:t>
            </w:r>
          </w:p>
        </w:tc>
        <w:tc>
          <w:tcPr>
            <w:tcW w:w="2019" w:type="dxa"/>
            <w:tcBorders>
              <w:top w:val="nil"/>
              <w:left w:val="nil"/>
              <w:bottom w:val="nil"/>
              <w:right w:val="single" w:sz="4" w:space="0" w:color="auto"/>
            </w:tcBorders>
            <w:shd w:val="clear" w:color="auto" w:fill="auto"/>
            <w:noWrap/>
            <w:vAlign w:val="bottom"/>
            <w:hideMark/>
          </w:tcPr>
          <w:p w:rsidR="003E686B" w:rsidRPr="007134CF" w:rsidRDefault="003E686B" w:rsidP="007134CF">
            <w:pPr>
              <w:spacing w:before="60" w:after="0" w:line="240" w:lineRule="auto"/>
              <w:jc w:val="center"/>
              <w:rPr>
                <w:rFonts w:ascii="Times New Roman" w:hAnsi="Times New Roman" w:cs="Times New Roman"/>
                <w:color w:val="000000"/>
                <w:lang w:eastAsia="hu-HU"/>
              </w:rPr>
            </w:pPr>
            <w:r w:rsidRPr="007134CF">
              <w:rPr>
                <w:rFonts w:ascii="Times New Roman" w:hAnsi="Times New Roman" w:cs="Times New Roman"/>
                <w:color w:val="000000"/>
                <w:lang w:eastAsia="hu-HU"/>
              </w:rPr>
              <w:t>33</w:t>
            </w:r>
          </w:p>
        </w:tc>
      </w:tr>
      <w:tr w:rsidR="003E686B" w:rsidRPr="007134CF" w:rsidTr="00AD662F">
        <w:trPr>
          <w:trHeight w:val="251"/>
          <w:jc w:val="center"/>
        </w:trPr>
        <w:tc>
          <w:tcPr>
            <w:tcW w:w="566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E686B" w:rsidRPr="007134CF" w:rsidRDefault="003E686B" w:rsidP="007134CF">
            <w:pPr>
              <w:spacing w:before="60" w:after="0" w:line="240" w:lineRule="auto"/>
              <w:rPr>
                <w:rFonts w:ascii="Times New Roman" w:hAnsi="Times New Roman" w:cs="Times New Roman"/>
                <w:b/>
                <w:bCs/>
                <w:color w:val="000000"/>
                <w:lang w:eastAsia="hu-HU"/>
              </w:rPr>
            </w:pPr>
            <w:r w:rsidRPr="007134CF">
              <w:rPr>
                <w:rFonts w:ascii="Times New Roman" w:hAnsi="Times New Roman" w:cs="Times New Roman"/>
                <w:b/>
                <w:bCs/>
                <w:color w:val="000000"/>
                <w:lang w:eastAsia="hu-HU"/>
              </w:rPr>
              <w:t>Összesen</w:t>
            </w:r>
          </w:p>
        </w:tc>
        <w:tc>
          <w:tcPr>
            <w:tcW w:w="2019" w:type="dxa"/>
            <w:tcBorders>
              <w:top w:val="single" w:sz="4" w:space="0" w:color="auto"/>
              <w:left w:val="nil"/>
              <w:bottom w:val="single" w:sz="4" w:space="0" w:color="auto"/>
              <w:right w:val="single" w:sz="4" w:space="0" w:color="auto"/>
            </w:tcBorders>
            <w:shd w:val="clear" w:color="000000" w:fill="BFBFBF"/>
            <w:noWrap/>
            <w:vAlign w:val="bottom"/>
            <w:hideMark/>
          </w:tcPr>
          <w:p w:rsidR="003E686B" w:rsidRPr="007134CF" w:rsidRDefault="003E686B" w:rsidP="007134CF">
            <w:pPr>
              <w:spacing w:before="60" w:after="0" w:line="240" w:lineRule="auto"/>
              <w:jc w:val="center"/>
              <w:rPr>
                <w:rFonts w:ascii="Times New Roman" w:hAnsi="Times New Roman" w:cs="Times New Roman"/>
                <w:b/>
                <w:bCs/>
                <w:color w:val="000000"/>
                <w:lang w:eastAsia="hu-HU"/>
              </w:rPr>
            </w:pPr>
            <w:r w:rsidRPr="007134CF">
              <w:rPr>
                <w:rFonts w:ascii="Times New Roman" w:hAnsi="Times New Roman" w:cs="Times New Roman"/>
                <w:b/>
                <w:bCs/>
                <w:color w:val="000000"/>
                <w:lang w:eastAsia="hu-HU"/>
              </w:rPr>
              <w:t>338</w:t>
            </w:r>
          </w:p>
        </w:tc>
      </w:tr>
    </w:tbl>
    <w:p w:rsidR="006D3F7B" w:rsidRDefault="003E686B" w:rsidP="007134CF">
      <w:pPr>
        <w:spacing w:before="60" w:after="60" w:line="360" w:lineRule="exact"/>
        <w:jc w:val="both"/>
        <w:rPr>
          <w:rFonts w:ascii="Times New Roman" w:eastAsia="Verdana" w:hAnsi="Times New Roman" w:cs="Times New Roman"/>
          <w:sz w:val="24"/>
          <w:szCs w:val="24"/>
        </w:rPr>
      </w:pPr>
      <w:r w:rsidRPr="00E3027F">
        <w:rPr>
          <w:rFonts w:ascii="Times New Roman" w:eastAsia="Verdana" w:hAnsi="Times New Roman" w:cs="Times New Roman"/>
          <w:sz w:val="24"/>
          <w:szCs w:val="24"/>
        </w:rPr>
        <w:t>A 338 nyertes pályázó között 498 800 136 Ft</w:t>
      </w:r>
      <w:r w:rsidRPr="00E3027F">
        <w:rPr>
          <w:rFonts w:ascii="Times New Roman" w:hAnsi="Times New Roman" w:cs="Times New Roman"/>
          <w:sz w:val="24"/>
          <w:szCs w:val="24"/>
          <w:lang w:eastAsia="hu-HU"/>
        </w:rPr>
        <w:t xml:space="preserve"> </w:t>
      </w:r>
      <w:r w:rsidRPr="00E3027F">
        <w:rPr>
          <w:rFonts w:ascii="Times New Roman" w:eastAsia="Verdana" w:hAnsi="Times New Roman" w:cs="Times New Roman"/>
          <w:sz w:val="24"/>
          <w:szCs w:val="24"/>
        </w:rPr>
        <w:t>került szétosztásra</w:t>
      </w:r>
      <w:r w:rsidRPr="00E3027F">
        <w:rPr>
          <w:rFonts w:ascii="Times New Roman" w:hAnsi="Times New Roman" w:cs="Times New Roman"/>
          <w:sz w:val="24"/>
          <w:szCs w:val="24"/>
          <w:lang w:eastAsia="hu-HU"/>
        </w:rPr>
        <w:t xml:space="preserve"> ösztöndíj formájában</w:t>
      </w:r>
      <w:r w:rsidRPr="00E3027F">
        <w:rPr>
          <w:rFonts w:ascii="Times New Roman" w:eastAsia="Verdana" w:hAnsi="Times New Roman" w:cs="Times New Roman"/>
          <w:sz w:val="24"/>
          <w:szCs w:val="24"/>
        </w:rPr>
        <w:t>, ami után az ELTE 199 520 055 Ft intézményi támogatásban, mindösszesen tehát 698 320 191 Ft támogatásban részesül.</w:t>
      </w:r>
    </w:p>
    <w:p w:rsidR="003E686B" w:rsidRPr="00252EE6" w:rsidRDefault="003E686B" w:rsidP="00C03F01">
      <w:pPr>
        <w:spacing w:before="60" w:after="60" w:line="360" w:lineRule="exact"/>
        <w:jc w:val="both"/>
        <w:rPr>
          <w:rFonts w:ascii="Times New Roman" w:eastAsia="Verdana" w:hAnsi="Times New Roman" w:cs="Times New Roman"/>
          <w:sz w:val="24"/>
          <w:szCs w:val="24"/>
        </w:rPr>
      </w:pPr>
      <w:r w:rsidRPr="00E3027F">
        <w:rPr>
          <w:rFonts w:ascii="Times New Roman" w:eastAsia="Verdana" w:hAnsi="Times New Roman" w:cs="Times New Roman"/>
          <w:sz w:val="24"/>
          <w:szCs w:val="24"/>
        </w:rPr>
        <w:t>Az ELTE keretei az alábbiak szerint alakulnak</w:t>
      </w:r>
      <w:r>
        <w:rPr>
          <w:rFonts w:ascii="Times New Roman" w:eastAsia="Verdana" w:hAnsi="Times New Roman" w:cs="Times New Roman"/>
          <w:sz w:val="24"/>
          <w:szCs w:val="24"/>
        </w:rPr>
        <w:t xml:space="preserve"> pályázati kategóriánként:</w:t>
      </w:r>
    </w:p>
    <w:p w:rsidR="00252EE6" w:rsidRDefault="00252EE6" w:rsidP="00252EE6">
      <w:pPr>
        <w:jc w:val="center"/>
        <w:rPr>
          <w:rFonts w:ascii="Times New Roman" w:eastAsia="Verdana" w:hAnsi="Times New Roman" w:cs="Times New Roman"/>
          <w:b/>
          <w:sz w:val="24"/>
          <w:szCs w:val="24"/>
        </w:rPr>
      </w:pPr>
      <w:r>
        <w:rPr>
          <w:rFonts w:ascii="Garamond" w:eastAsia="Verdana" w:hAnsi="Garamond" w:cs="Verdana"/>
          <w:noProof/>
          <w:sz w:val="24"/>
          <w:szCs w:val="24"/>
          <w:lang w:eastAsia="hu-HU"/>
        </w:rPr>
        <w:drawing>
          <wp:inline distT="0" distB="0" distL="0" distR="0" wp14:anchorId="574FFD86" wp14:editId="32BDDE1D">
            <wp:extent cx="4895850" cy="2601484"/>
            <wp:effectExtent l="0" t="0" r="0" b="889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1101" cy="2620215"/>
                    </a:xfrm>
                    <a:prstGeom prst="rect">
                      <a:avLst/>
                    </a:prstGeom>
                    <a:noFill/>
                  </pic:spPr>
                </pic:pic>
              </a:graphicData>
            </a:graphic>
          </wp:inline>
        </w:drawing>
      </w:r>
    </w:p>
    <w:p w:rsidR="00252EE6" w:rsidRDefault="00252EE6" w:rsidP="00252EE6">
      <w:pPr>
        <w:jc w:val="center"/>
        <w:rPr>
          <w:rFonts w:ascii="Times New Roman" w:eastAsia="Verdana" w:hAnsi="Times New Roman" w:cs="Times New Roman"/>
          <w:b/>
          <w:sz w:val="24"/>
          <w:szCs w:val="24"/>
        </w:rPr>
      </w:pPr>
      <w:r>
        <w:rPr>
          <w:rFonts w:ascii="Garamond" w:eastAsia="Verdana" w:hAnsi="Garamond" w:cs="Verdana"/>
          <w:noProof/>
          <w:sz w:val="24"/>
          <w:szCs w:val="24"/>
          <w:lang w:eastAsia="hu-HU"/>
        </w:rPr>
        <w:drawing>
          <wp:inline distT="0" distB="0" distL="0" distR="0" wp14:anchorId="19C1D5E6" wp14:editId="3C379FF6">
            <wp:extent cx="4914900" cy="2817633"/>
            <wp:effectExtent l="0" t="0" r="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2343" cy="2821900"/>
                    </a:xfrm>
                    <a:prstGeom prst="rect">
                      <a:avLst/>
                    </a:prstGeom>
                    <a:noFill/>
                  </pic:spPr>
                </pic:pic>
              </a:graphicData>
            </a:graphic>
          </wp:inline>
        </w:drawing>
      </w:r>
      <w:r>
        <w:rPr>
          <w:rFonts w:ascii="Times New Roman" w:eastAsia="Verdana" w:hAnsi="Times New Roman" w:cs="Times New Roman"/>
          <w:b/>
          <w:sz w:val="24"/>
          <w:szCs w:val="24"/>
        </w:rPr>
        <w:br w:type="page"/>
      </w:r>
    </w:p>
    <w:p w:rsidR="003E686B" w:rsidRPr="006D3F7B" w:rsidRDefault="003E686B" w:rsidP="00C03F01">
      <w:pPr>
        <w:spacing w:before="60" w:after="60" w:line="360" w:lineRule="exact"/>
        <w:jc w:val="both"/>
        <w:rPr>
          <w:rFonts w:ascii="Times New Roman" w:eastAsia="Verdana" w:hAnsi="Times New Roman" w:cs="Times New Roman"/>
          <w:b/>
          <w:i/>
          <w:sz w:val="24"/>
          <w:szCs w:val="24"/>
        </w:rPr>
      </w:pPr>
      <w:r w:rsidRPr="006D3F7B">
        <w:rPr>
          <w:rFonts w:ascii="Times New Roman" w:eastAsia="Verdana" w:hAnsi="Times New Roman" w:cs="Times New Roman"/>
          <w:b/>
          <w:i/>
          <w:sz w:val="24"/>
          <w:szCs w:val="24"/>
        </w:rPr>
        <w:lastRenderedPageBreak/>
        <w:t>Tudománykommunikáció</w:t>
      </w:r>
    </w:p>
    <w:p w:rsidR="006D3F7B" w:rsidRPr="007134CF" w:rsidRDefault="003E686B" w:rsidP="007134CF">
      <w:pPr>
        <w:spacing w:before="60" w:line="360" w:lineRule="exact"/>
        <w:jc w:val="both"/>
        <w:rPr>
          <w:rFonts w:ascii="Times New Roman" w:eastAsia="Verdana" w:hAnsi="Times New Roman" w:cs="Times New Roman"/>
          <w:sz w:val="24"/>
          <w:szCs w:val="24"/>
        </w:rPr>
      </w:pPr>
      <w:r w:rsidRPr="00E3027F">
        <w:rPr>
          <w:rFonts w:ascii="Times New Roman" w:eastAsia="Verdana" w:hAnsi="Times New Roman" w:cs="Times New Roman"/>
          <w:sz w:val="24"/>
          <w:szCs w:val="24"/>
        </w:rPr>
        <w:t xml:space="preserve">Az elmúlt évek sikerére tekintettel jelen pályázati ciklusban is tervezzük az </w:t>
      </w:r>
      <w:r w:rsidRPr="00E3027F">
        <w:rPr>
          <w:rFonts w:ascii="Times New Roman" w:eastAsia="Verdana" w:hAnsi="Times New Roman" w:cs="Times New Roman"/>
          <w:i/>
          <w:sz w:val="24"/>
          <w:szCs w:val="24"/>
        </w:rPr>
        <w:t>ÚNKP Tudománykommunikációs verseny</w:t>
      </w:r>
      <w:r w:rsidRPr="00E3027F">
        <w:rPr>
          <w:rFonts w:ascii="Times New Roman" w:eastAsia="Verdana" w:hAnsi="Times New Roman" w:cs="Times New Roman"/>
          <w:sz w:val="24"/>
          <w:szCs w:val="24"/>
        </w:rPr>
        <w:t xml:space="preserve"> meghirdetését tudománynépszerűsítő kisvideó valamint tudományn</w:t>
      </w:r>
      <w:r w:rsidR="007134CF">
        <w:rPr>
          <w:rFonts w:ascii="Times New Roman" w:eastAsia="Verdana" w:hAnsi="Times New Roman" w:cs="Times New Roman"/>
          <w:sz w:val="24"/>
          <w:szCs w:val="24"/>
        </w:rPr>
        <w:t>épszerűsítő cikk kategóriákban.</w:t>
      </w:r>
    </w:p>
    <w:p w:rsidR="003E686B" w:rsidRPr="006D3F7B" w:rsidRDefault="003E686B" w:rsidP="00C03F01">
      <w:pPr>
        <w:spacing w:before="60" w:after="60" w:line="360" w:lineRule="exact"/>
        <w:jc w:val="both"/>
        <w:rPr>
          <w:rFonts w:ascii="Times New Roman" w:eastAsia="Verdana" w:hAnsi="Times New Roman" w:cs="Times New Roman"/>
          <w:b/>
          <w:i/>
          <w:sz w:val="24"/>
          <w:szCs w:val="24"/>
        </w:rPr>
      </w:pPr>
      <w:r w:rsidRPr="006D3F7B">
        <w:rPr>
          <w:rFonts w:ascii="Times New Roman" w:eastAsia="Verdana" w:hAnsi="Times New Roman" w:cs="Times New Roman"/>
          <w:b/>
          <w:i/>
          <w:sz w:val="24"/>
          <w:szCs w:val="24"/>
        </w:rPr>
        <w:t>Open science és publikálási workshop</w:t>
      </w:r>
    </w:p>
    <w:p w:rsidR="006D3F7B" w:rsidRPr="007134CF" w:rsidRDefault="003E686B" w:rsidP="007134CF">
      <w:pPr>
        <w:spacing w:before="60" w:line="360" w:lineRule="exact"/>
        <w:jc w:val="both"/>
        <w:rPr>
          <w:rFonts w:ascii="Times New Roman" w:eastAsia="Verdana" w:hAnsi="Times New Roman" w:cs="Times New Roman"/>
          <w:sz w:val="24"/>
          <w:szCs w:val="24"/>
        </w:rPr>
      </w:pPr>
      <w:r w:rsidRPr="00E3027F">
        <w:rPr>
          <w:rFonts w:ascii="Times New Roman" w:eastAsia="Verdana" w:hAnsi="Times New Roman" w:cs="Times New Roman"/>
          <w:sz w:val="24"/>
          <w:szCs w:val="24"/>
        </w:rPr>
        <w:t xml:space="preserve">A 2019/2020-as pályázati ciklus során megkezdett, de a COVID-19 járvány miatt meghiúsult kezdeményezés idén nagy örömünkre megvalósulhat. Publikálási és a nyílt tudománnyal kapcsolatos ismeretekről szóló workshopot szervezünk az ösztöndíjasok részére a Rektori Kabinet Tudománypolitikai Iroda és az Egyetemi Könyvtár </w:t>
      </w:r>
      <w:r w:rsidRPr="00E3027F">
        <w:rPr>
          <w:rFonts w:ascii="Times New Roman" w:hAnsi="Times New Roman" w:cs="Times New Roman"/>
          <w:color w:val="0B0706"/>
          <w:sz w:val="24"/>
          <w:szCs w:val="24"/>
        </w:rPr>
        <w:t>Oktatás- és Kutatástámogatási Osztály szakmai támogatásával. Az ingyenes képzés tervezett időpontja 2020. november.</w:t>
      </w:r>
    </w:p>
    <w:p w:rsidR="003E686B" w:rsidRPr="006D3F7B" w:rsidRDefault="003E686B" w:rsidP="00C03F01">
      <w:pPr>
        <w:spacing w:before="60" w:after="60" w:line="360" w:lineRule="exact"/>
        <w:jc w:val="both"/>
        <w:rPr>
          <w:rFonts w:ascii="Times New Roman" w:eastAsia="Verdana" w:hAnsi="Times New Roman" w:cs="Times New Roman"/>
          <w:b/>
          <w:i/>
          <w:sz w:val="24"/>
          <w:szCs w:val="24"/>
        </w:rPr>
      </w:pPr>
      <w:r w:rsidRPr="006D3F7B">
        <w:rPr>
          <w:rFonts w:ascii="Times New Roman" w:eastAsia="Verdana" w:hAnsi="Times New Roman" w:cs="Times New Roman"/>
          <w:b/>
          <w:i/>
          <w:sz w:val="24"/>
          <w:szCs w:val="24"/>
        </w:rPr>
        <w:t>Konferencia</w:t>
      </w:r>
    </w:p>
    <w:p w:rsidR="003E686B" w:rsidRPr="00E3027F" w:rsidRDefault="003E686B" w:rsidP="00C03F01">
      <w:pPr>
        <w:spacing w:before="60" w:after="60" w:line="360" w:lineRule="exact"/>
        <w:jc w:val="both"/>
        <w:rPr>
          <w:rFonts w:ascii="Times New Roman" w:eastAsia="Verdana" w:hAnsi="Times New Roman" w:cs="Times New Roman"/>
          <w:sz w:val="24"/>
          <w:szCs w:val="24"/>
        </w:rPr>
      </w:pPr>
      <w:r w:rsidRPr="00E3027F">
        <w:rPr>
          <w:rFonts w:ascii="Times New Roman" w:eastAsia="Verdana" w:hAnsi="Times New Roman" w:cs="Times New Roman"/>
          <w:sz w:val="24"/>
          <w:szCs w:val="24"/>
        </w:rPr>
        <w:t>A 2019/2020-as ösztöndíjas ciklus ÚNKP zárókonferenciára rendhagyó időpontban – a járványhelyzet okán meghosszabbított ösztöndíjas időszakra tekintettel – 2020. december 14-én kerül sor. A nyilvános konferencia online, a Microsoft Teams felületen zajlik.</w:t>
      </w:r>
    </w:p>
    <w:p w:rsidR="003E686B" w:rsidRPr="00670799" w:rsidRDefault="003E686B" w:rsidP="00C03F01">
      <w:pPr>
        <w:spacing w:before="60" w:after="60" w:line="360" w:lineRule="exact"/>
        <w:jc w:val="both"/>
        <w:rPr>
          <w:rFonts w:ascii="Times New Roman" w:hAnsi="Times New Roman" w:cs="Times New Roman"/>
          <w:b/>
          <w:bCs/>
          <w:sz w:val="24"/>
          <w:szCs w:val="24"/>
        </w:rPr>
      </w:pPr>
      <w:r w:rsidRPr="00E3027F">
        <w:rPr>
          <w:rFonts w:ascii="Times New Roman" w:eastAsia="Verdana" w:hAnsi="Times New Roman" w:cs="Times New Roman"/>
          <w:sz w:val="24"/>
          <w:szCs w:val="24"/>
        </w:rPr>
        <w:t>A konferenciaelőadások 30 Teams csoportba rendezett tudományterületi szekcióban párhuzamosan zajlanak. A konferencia meghívóját, absztraktfüzetét és programfüzetét hamarosan közzétesszük az ELTE honlapon.</w:t>
      </w:r>
    </w:p>
    <w:p w:rsidR="003E686B" w:rsidRDefault="003E686B" w:rsidP="00C03F01">
      <w:pPr>
        <w:spacing w:before="60" w:after="60" w:line="360" w:lineRule="exact"/>
        <w:rPr>
          <w:rFonts w:ascii="Times New Roman" w:hAnsi="Times New Roman" w:cs="Times New Roman"/>
          <w:b/>
          <w:sz w:val="24"/>
          <w:szCs w:val="24"/>
        </w:rPr>
      </w:pPr>
    </w:p>
    <w:p w:rsidR="009B585A" w:rsidRDefault="009B585A" w:rsidP="00C03F01">
      <w:pPr>
        <w:spacing w:before="60" w:after="60" w:line="360" w:lineRule="exact"/>
        <w:rPr>
          <w:rFonts w:ascii="Times New Roman" w:hAnsi="Times New Roman" w:cs="Times New Roman"/>
          <w:b/>
          <w:sz w:val="24"/>
          <w:szCs w:val="24"/>
        </w:rPr>
      </w:pPr>
      <w:r w:rsidRPr="00DB70EA">
        <w:rPr>
          <w:rFonts w:ascii="Times New Roman" w:hAnsi="Times New Roman" w:cs="Times New Roman"/>
          <w:b/>
          <w:sz w:val="24"/>
          <w:szCs w:val="24"/>
        </w:rPr>
        <w:t xml:space="preserve">I.4.3. A Felsőoktatási Intézményi Kiválósági Program </w:t>
      </w:r>
      <w:r>
        <w:rPr>
          <w:rFonts w:ascii="Times New Roman" w:hAnsi="Times New Roman" w:cs="Times New Roman"/>
          <w:b/>
          <w:sz w:val="24"/>
          <w:szCs w:val="24"/>
        </w:rPr>
        <w:t xml:space="preserve">és </w:t>
      </w:r>
      <w:r w:rsidRPr="0041216B">
        <w:rPr>
          <w:rFonts w:ascii="Times New Roman" w:hAnsi="Times New Roman" w:cs="Times New Roman"/>
          <w:b/>
          <w:sz w:val="24"/>
          <w:szCs w:val="24"/>
        </w:rPr>
        <w:t xml:space="preserve">Tématerületi Kiválósági </w:t>
      </w:r>
    </w:p>
    <w:p w:rsidR="009B585A" w:rsidRDefault="009B585A" w:rsidP="00C03F01">
      <w:pPr>
        <w:spacing w:before="60" w:after="60" w:line="360" w:lineRule="exact"/>
        <w:rPr>
          <w:rFonts w:ascii="Times New Roman" w:hAnsi="Times New Roman" w:cs="Times New Roman"/>
          <w:b/>
          <w:sz w:val="24"/>
          <w:szCs w:val="24"/>
        </w:rPr>
      </w:pPr>
      <w:r w:rsidRPr="0041216B">
        <w:rPr>
          <w:rFonts w:ascii="Times New Roman" w:hAnsi="Times New Roman" w:cs="Times New Roman"/>
          <w:b/>
          <w:sz w:val="24"/>
          <w:szCs w:val="24"/>
        </w:rPr>
        <w:t xml:space="preserve">Program </w:t>
      </w:r>
      <w:r w:rsidRPr="00DB70EA">
        <w:rPr>
          <w:rFonts w:ascii="Times New Roman" w:hAnsi="Times New Roman" w:cs="Times New Roman"/>
          <w:b/>
          <w:sz w:val="24"/>
          <w:szCs w:val="24"/>
        </w:rPr>
        <w:t>2020</w:t>
      </w:r>
      <w:r>
        <w:rPr>
          <w:rFonts w:ascii="Times New Roman" w:hAnsi="Times New Roman" w:cs="Times New Roman"/>
          <w:b/>
          <w:sz w:val="24"/>
          <w:szCs w:val="24"/>
        </w:rPr>
        <w:t>. évi teljesítése</w:t>
      </w:r>
    </w:p>
    <w:p w:rsidR="009B585A" w:rsidRDefault="009B585A" w:rsidP="007134CF">
      <w:pPr>
        <w:spacing w:before="60" w:line="360" w:lineRule="exact"/>
        <w:jc w:val="both"/>
        <w:rPr>
          <w:rFonts w:ascii="Times New Roman" w:hAnsi="Times New Roman" w:cs="Times New Roman"/>
          <w:sz w:val="24"/>
          <w:szCs w:val="24"/>
        </w:rPr>
      </w:pPr>
      <w:r w:rsidRPr="00F458E1">
        <w:rPr>
          <w:rFonts w:ascii="Times New Roman" w:hAnsi="Times New Roman" w:cs="Times New Roman"/>
          <w:sz w:val="24"/>
          <w:szCs w:val="24"/>
        </w:rPr>
        <w:t>A Felsőoktatási Intézményi Kiválósági Programról szóló 1381/2017. (VI. 16.) Korm. határozat alapján létrehozott Felsőoktatási Intézményi Kiválósági Program (a továbbiakban: FIKP) keretein belül 2018. évtől 2 Mrd Ft összegű támogatásban részesült az ELTE-t a következő 4 tématerületeken végzendő tudományos és innovációs tevékenységek végrehajtása érdekében: Diagnosztika és terápiás fejlesztések, Anyagtudomány, Asztro- és részecskefizi</w:t>
      </w:r>
      <w:r>
        <w:rPr>
          <w:rFonts w:ascii="Times New Roman" w:hAnsi="Times New Roman" w:cs="Times New Roman"/>
          <w:sz w:val="24"/>
          <w:szCs w:val="24"/>
        </w:rPr>
        <w:t>ka, Problémamegoldó rendszerek.</w:t>
      </w:r>
    </w:p>
    <w:p w:rsidR="007F09E4" w:rsidRDefault="009B585A" w:rsidP="00C03F01">
      <w:pPr>
        <w:spacing w:before="60" w:after="60" w:line="360" w:lineRule="exact"/>
        <w:jc w:val="both"/>
        <w:rPr>
          <w:rFonts w:ascii="Times New Roman" w:hAnsi="Times New Roman" w:cs="Times New Roman"/>
          <w:sz w:val="24"/>
          <w:szCs w:val="24"/>
        </w:rPr>
      </w:pPr>
      <w:r w:rsidRPr="00F458E1">
        <w:rPr>
          <w:rFonts w:ascii="Times New Roman" w:hAnsi="Times New Roman" w:cs="Times New Roman"/>
          <w:sz w:val="24"/>
          <w:szCs w:val="24"/>
        </w:rPr>
        <w:t xml:space="preserve">A program az első évben </w:t>
      </w:r>
      <w:r w:rsidRPr="009B585A">
        <w:rPr>
          <w:rFonts w:ascii="Times New Roman" w:hAnsi="Times New Roman" w:cs="Times New Roman"/>
          <w:b/>
          <w:sz w:val="24"/>
          <w:szCs w:val="24"/>
        </w:rPr>
        <w:t>6 db</w:t>
      </w:r>
      <w:r w:rsidRPr="00F458E1">
        <w:rPr>
          <w:rFonts w:ascii="Times New Roman" w:hAnsi="Times New Roman" w:cs="Times New Roman"/>
          <w:sz w:val="24"/>
          <w:szCs w:val="24"/>
        </w:rPr>
        <w:t xml:space="preserve"> </w:t>
      </w:r>
      <w:r w:rsidRPr="009B585A">
        <w:rPr>
          <w:rFonts w:ascii="Times New Roman" w:hAnsi="Times New Roman" w:cs="Times New Roman"/>
          <w:b/>
          <w:sz w:val="24"/>
          <w:szCs w:val="24"/>
        </w:rPr>
        <w:t>MTA Lendület kutatócsoport</w:t>
      </w:r>
      <w:r>
        <w:rPr>
          <w:rFonts w:ascii="Times New Roman" w:hAnsi="Times New Roman" w:cs="Times New Roman"/>
          <w:sz w:val="24"/>
          <w:szCs w:val="24"/>
        </w:rPr>
        <w:t xml:space="preserve"> támogatását is biztosítja – melyek a</w:t>
      </w:r>
      <w:r w:rsidRPr="00F458E1">
        <w:rPr>
          <w:rFonts w:ascii="Times New Roman" w:hAnsi="Times New Roman" w:cs="Times New Roman"/>
          <w:sz w:val="24"/>
          <w:szCs w:val="24"/>
        </w:rPr>
        <w:t xml:space="preserve"> kiváló minősítéssel zárult</w:t>
      </w:r>
      <w:r>
        <w:rPr>
          <w:rFonts w:ascii="Times New Roman" w:hAnsi="Times New Roman" w:cs="Times New Roman"/>
          <w:sz w:val="24"/>
          <w:szCs w:val="24"/>
        </w:rPr>
        <w:t>ak –</w:t>
      </w:r>
      <w:r w:rsidRPr="00F458E1">
        <w:rPr>
          <w:rFonts w:ascii="Times New Roman" w:hAnsi="Times New Roman" w:cs="Times New Roman"/>
          <w:sz w:val="24"/>
          <w:szCs w:val="24"/>
        </w:rPr>
        <w:t xml:space="preserve"> </w:t>
      </w:r>
      <w:r>
        <w:rPr>
          <w:rFonts w:ascii="Times New Roman" w:hAnsi="Times New Roman" w:cs="Times New Roman"/>
          <w:sz w:val="24"/>
          <w:szCs w:val="24"/>
        </w:rPr>
        <w:t>név szerint</w:t>
      </w:r>
      <w:r w:rsidRPr="00F458E1">
        <w:rPr>
          <w:rFonts w:ascii="Times New Roman" w:hAnsi="Times New Roman" w:cs="Times New Roman"/>
          <w:sz w:val="24"/>
          <w:szCs w:val="24"/>
        </w:rPr>
        <w:t>:</w:t>
      </w:r>
      <w:r>
        <w:rPr>
          <w:rFonts w:ascii="Times New Roman" w:hAnsi="Times New Roman" w:cs="Times New Roman"/>
          <w:sz w:val="24"/>
          <w:szCs w:val="24"/>
        </w:rPr>
        <w:t xml:space="preserve"> </w:t>
      </w:r>
    </w:p>
    <w:p w:rsidR="007F09E4" w:rsidRDefault="009B585A" w:rsidP="00C03F01">
      <w:pPr>
        <w:pStyle w:val="Listaszerbekezds"/>
        <w:numPr>
          <w:ilvl w:val="0"/>
          <w:numId w:val="32"/>
        </w:numPr>
        <w:spacing w:before="60" w:after="60" w:line="360" w:lineRule="exact"/>
        <w:rPr>
          <w:szCs w:val="24"/>
        </w:rPr>
      </w:pPr>
      <w:r w:rsidRPr="007F09E4">
        <w:rPr>
          <w:szCs w:val="24"/>
        </w:rPr>
        <w:t xml:space="preserve">Komplement Kutatócsoport, </w:t>
      </w:r>
    </w:p>
    <w:p w:rsidR="007F09E4" w:rsidRDefault="009B585A" w:rsidP="00C03F01">
      <w:pPr>
        <w:pStyle w:val="Listaszerbekezds"/>
        <w:numPr>
          <w:ilvl w:val="0"/>
          <w:numId w:val="32"/>
        </w:numPr>
        <w:spacing w:before="60" w:after="60" w:line="360" w:lineRule="exact"/>
        <w:rPr>
          <w:szCs w:val="24"/>
        </w:rPr>
      </w:pPr>
      <w:r w:rsidRPr="007F09E4">
        <w:rPr>
          <w:szCs w:val="24"/>
        </w:rPr>
        <w:t xml:space="preserve">Motorenzim Kutatócsoport, </w:t>
      </w:r>
    </w:p>
    <w:p w:rsidR="007F09E4" w:rsidRDefault="009B585A" w:rsidP="00C03F01">
      <w:pPr>
        <w:pStyle w:val="Listaszerbekezds"/>
        <w:numPr>
          <w:ilvl w:val="0"/>
          <w:numId w:val="32"/>
        </w:numPr>
        <w:spacing w:before="60" w:after="60" w:line="360" w:lineRule="exact"/>
        <w:rPr>
          <w:szCs w:val="24"/>
        </w:rPr>
      </w:pPr>
      <w:r w:rsidRPr="007F09E4">
        <w:rPr>
          <w:szCs w:val="24"/>
        </w:rPr>
        <w:t xml:space="preserve">Biofizikai Kutatócsoport, </w:t>
      </w:r>
    </w:p>
    <w:p w:rsidR="007F09E4" w:rsidRDefault="009B585A" w:rsidP="00C03F01">
      <w:pPr>
        <w:pStyle w:val="Listaszerbekezds"/>
        <w:numPr>
          <w:ilvl w:val="0"/>
          <w:numId w:val="32"/>
        </w:numPr>
        <w:spacing w:before="60" w:after="60" w:line="360" w:lineRule="exact"/>
        <w:rPr>
          <w:szCs w:val="24"/>
        </w:rPr>
      </w:pPr>
      <w:r w:rsidRPr="007F09E4">
        <w:rPr>
          <w:szCs w:val="24"/>
        </w:rPr>
        <w:t xml:space="preserve">Asztrofizikai Kutatócsoport, </w:t>
      </w:r>
    </w:p>
    <w:p w:rsidR="007F09E4" w:rsidRPr="007F09E4" w:rsidRDefault="007F09E4" w:rsidP="00C03F01">
      <w:pPr>
        <w:pStyle w:val="Listaszerbekezds"/>
        <w:numPr>
          <w:ilvl w:val="0"/>
          <w:numId w:val="32"/>
        </w:numPr>
        <w:spacing w:before="60" w:after="60" w:line="360" w:lineRule="exact"/>
        <w:rPr>
          <w:szCs w:val="24"/>
        </w:rPr>
      </w:pPr>
      <w:r>
        <w:rPr>
          <w:szCs w:val="24"/>
        </w:rPr>
        <w:t xml:space="preserve">Katalízis </w:t>
      </w:r>
      <w:r w:rsidR="009B585A" w:rsidRPr="007F09E4">
        <w:rPr>
          <w:szCs w:val="24"/>
        </w:rPr>
        <w:t xml:space="preserve">Szerves Szintézisek Kutatócsoport, </w:t>
      </w:r>
    </w:p>
    <w:p w:rsidR="009B585A" w:rsidRPr="007F09E4" w:rsidRDefault="007F09E4" w:rsidP="00C03F01">
      <w:pPr>
        <w:pStyle w:val="Listaszerbekezds"/>
        <w:numPr>
          <w:ilvl w:val="0"/>
          <w:numId w:val="32"/>
        </w:numPr>
        <w:spacing w:before="60" w:after="60" w:line="360" w:lineRule="exact"/>
        <w:rPr>
          <w:szCs w:val="24"/>
        </w:rPr>
      </w:pPr>
      <w:r>
        <w:rPr>
          <w:szCs w:val="24"/>
        </w:rPr>
        <w:t>Rácstérelmélet Kutatócsoport;</w:t>
      </w:r>
    </w:p>
    <w:p w:rsidR="009B585A" w:rsidRDefault="009B585A" w:rsidP="00C03F01">
      <w:pPr>
        <w:spacing w:before="60" w:after="60" w:line="360" w:lineRule="exact"/>
        <w:jc w:val="both"/>
        <w:rPr>
          <w:rFonts w:ascii="Times New Roman" w:hAnsi="Times New Roman" w:cs="Times New Roman"/>
          <w:sz w:val="24"/>
          <w:szCs w:val="24"/>
        </w:rPr>
      </w:pPr>
      <w:r w:rsidRPr="00F458E1">
        <w:rPr>
          <w:rFonts w:ascii="Times New Roman" w:hAnsi="Times New Roman" w:cs="Times New Roman"/>
          <w:sz w:val="24"/>
          <w:szCs w:val="24"/>
        </w:rPr>
        <w:lastRenderedPageBreak/>
        <w:t xml:space="preserve">A programok interdiszciplináris jellege miatt a fentiekben felsorolt tématerületek </w:t>
      </w:r>
      <w:r>
        <w:rPr>
          <w:rFonts w:ascii="Times New Roman" w:hAnsi="Times New Roman" w:cs="Times New Roman"/>
          <w:sz w:val="24"/>
          <w:szCs w:val="24"/>
        </w:rPr>
        <w:t>az ELTE 6 Karán valósulnak meg.</w:t>
      </w:r>
    </w:p>
    <w:p w:rsidR="009B585A" w:rsidRDefault="009B585A" w:rsidP="00C03F01">
      <w:pPr>
        <w:spacing w:before="60" w:after="60" w:line="360" w:lineRule="exact"/>
        <w:jc w:val="both"/>
        <w:rPr>
          <w:rFonts w:ascii="Times New Roman" w:hAnsi="Times New Roman" w:cs="Times New Roman"/>
          <w:sz w:val="24"/>
          <w:szCs w:val="24"/>
        </w:rPr>
      </w:pPr>
      <w:r w:rsidRPr="00F458E1">
        <w:rPr>
          <w:rFonts w:ascii="Times New Roman" w:hAnsi="Times New Roman" w:cs="Times New Roman"/>
          <w:sz w:val="24"/>
          <w:szCs w:val="24"/>
        </w:rPr>
        <w:t>A tématerületi programok a kutatásfejlesztési és innovációs fókusz erősítésével hozzájárulnak a közvetlenül pályázható Európai Uniós források növeléséhez, a tudományos produktivitás és hasznosulás növeléséhez, a tudományos és kutatói utánpótlás fe</w:t>
      </w:r>
      <w:r>
        <w:rPr>
          <w:rFonts w:ascii="Times New Roman" w:hAnsi="Times New Roman" w:cs="Times New Roman"/>
          <w:sz w:val="24"/>
          <w:szCs w:val="24"/>
        </w:rPr>
        <w:t>ltételrendszerének javításához.</w:t>
      </w:r>
    </w:p>
    <w:p w:rsidR="006D3F7B" w:rsidRDefault="009B585A" w:rsidP="007134CF">
      <w:pPr>
        <w:spacing w:before="60" w:line="360" w:lineRule="exact"/>
        <w:jc w:val="both"/>
        <w:rPr>
          <w:rFonts w:ascii="Times New Roman" w:hAnsi="Times New Roman" w:cs="Times New Roman"/>
          <w:sz w:val="24"/>
          <w:szCs w:val="24"/>
        </w:rPr>
      </w:pPr>
      <w:r w:rsidRPr="00F458E1">
        <w:rPr>
          <w:rFonts w:ascii="Times New Roman" w:hAnsi="Times New Roman" w:cs="Times New Roman"/>
          <w:sz w:val="24"/>
          <w:szCs w:val="24"/>
        </w:rPr>
        <w:t>Céljai az oktatói és kutatói kiválóság intézményi, szervezeti támogatása, a tudás és a megértés előmozdítása, különösen a belső szervezeti és külső együttműködésen alapuló intézményi szintű kutatás-fejlesztés támogatása. A program biztosítja a kutatóhelyek szervezeti szintű fenntartását erősíti és segíti az új nemzetközi és hazai kapcsolatépít</w:t>
      </w:r>
      <w:r w:rsidR="007134CF">
        <w:rPr>
          <w:rFonts w:ascii="Times New Roman" w:hAnsi="Times New Roman" w:cs="Times New Roman"/>
          <w:sz w:val="24"/>
          <w:szCs w:val="24"/>
        </w:rPr>
        <w:t>ést szolgáló együttműködéseket.</w:t>
      </w:r>
    </w:p>
    <w:p w:rsidR="007F09E4" w:rsidRDefault="009B585A" w:rsidP="00C03F01">
      <w:pPr>
        <w:spacing w:before="60" w:after="60" w:line="360" w:lineRule="exact"/>
        <w:jc w:val="both"/>
        <w:rPr>
          <w:rFonts w:ascii="Times New Roman" w:hAnsi="Times New Roman" w:cs="Times New Roman"/>
          <w:b/>
          <w:sz w:val="24"/>
          <w:szCs w:val="24"/>
        </w:rPr>
      </w:pPr>
      <w:r w:rsidRPr="003D4076">
        <w:rPr>
          <w:rFonts w:ascii="Times New Roman" w:hAnsi="Times New Roman" w:cs="Times New Roman"/>
          <w:sz w:val="24"/>
          <w:szCs w:val="24"/>
        </w:rPr>
        <w:t xml:space="preserve">2019-2020. években </w:t>
      </w:r>
      <w:r w:rsidR="007F09E4">
        <w:rPr>
          <w:rFonts w:ascii="Times New Roman" w:hAnsi="Times New Roman" w:cs="Times New Roman"/>
          <w:sz w:val="24"/>
          <w:szCs w:val="24"/>
        </w:rPr>
        <w:t xml:space="preserve">a </w:t>
      </w:r>
      <w:r w:rsidR="007F09E4">
        <w:rPr>
          <w:rFonts w:ascii="Times New Roman" w:hAnsi="Times New Roman" w:cs="Times New Roman"/>
          <w:b/>
          <w:sz w:val="24"/>
          <w:szCs w:val="24"/>
        </w:rPr>
        <w:t xml:space="preserve">Felsőoktatási Intézményi Kiválásági Program (FIKP) </w:t>
      </w:r>
      <w:r w:rsidR="007F09E4" w:rsidRPr="002A4F21">
        <w:rPr>
          <w:rFonts w:ascii="Times New Roman" w:hAnsi="Times New Roman" w:cs="Times New Roman"/>
          <w:sz w:val="24"/>
          <w:szCs w:val="24"/>
        </w:rPr>
        <w:t>keretében</w:t>
      </w:r>
      <w:r w:rsidR="007F09E4">
        <w:rPr>
          <w:rFonts w:ascii="Times New Roman" w:hAnsi="Times New Roman" w:cs="Times New Roman"/>
          <w:b/>
          <w:sz w:val="24"/>
          <w:szCs w:val="24"/>
        </w:rPr>
        <w:t xml:space="preserve"> </w:t>
      </w:r>
      <w:r w:rsidR="007F09E4" w:rsidRPr="007F09E4">
        <w:rPr>
          <w:rFonts w:ascii="Times New Roman" w:hAnsi="Times New Roman" w:cs="Times New Roman"/>
          <w:sz w:val="24"/>
          <w:szCs w:val="24"/>
        </w:rPr>
        <w:t xml:space="preserve">az alábbi négy </w:t>
      </w:r>
      <w:r w:rsidR="002A4F21">
        <w:rPr>
          <w:rFonts w:ascii="Times New Roman" w:hAnsi="Times New Roman" w:cs="Times New Roman"/>
          <w:sz w:val="24"/>
          <w:szCs w:val="24"/>
        </w:rPr>
        <w:t xml:space="preserve">tématerület </w:t>
      </w:r>
      <w:r w:rsidR="007F09E4" w:rsidRPr="007F09E4">
        <w:rPr>
          <w:rFonts w:ascii="Times New Roman" w:hAnsi="Times New Roman" w:cs="Times New Roman"/>
          <w:sz w:val="24"/>
          <w:szCs w:val="24"/>
        </w:rPr>
        <w:t>v</w:t>
      </w:r>
      <w:r w:rsidR="007F09E4">
        <w:rPr>
          <w:rFonts w:ascii="Times New Roman" w:hAnsi="Times New Roman" w:cs="Times New Roman"/>
          <w:sz w:val="24"/>
          <w:szCs w:val="24"/>
        </w:rPr>
        <w:t>égrehajtása már zajlott</w:t>
      </w:r>
      <w:r w:rsidR="007F09E4" w:rsidRPr="007F09E4">
        <w:rPr>
          <w:rFonts w:ascii="Times New Roman" w:hAnsi="Times New Roman" w:cs="Times New Roman"/>
          <w:sz w:val="24"/>
          <w:szCs w:val="24"/>
        </w:rPr>
        <w:t>:</w:t>
      </w:r>
    </w:p>
    <w:p w:rsidR="007F09E4" w:rsidRPr="007F09E4" w:rsidRDefault="007F09E4" w:rsidP="00C03F01">
      <w:pPr>
        <w:pStyle w:val="Listaszerbekezds"/>
        <w:numPr>
          <w:ilvl w:val="0"/>
          <w:numId w:val="31"/>
        </w:numPr>
        <w:spacing w:before="60" w:after="60" w:line="360" w:lineRule="exact"/>
        <w:rPr>
          <w:szCs w:val="24"/>
        </w:rPr>
      </w:pPr>
      <w:r w:rsidRPr="007F09E4">
        <w:rPr>
          <w:szCs w:val="24"/>
        </w:rPr>
        <w:t>Diagnosztika és Terápiás fejlesztések)</w:t>
      </w:r>
      <w:r>
        <w:rPr>
          <w:szCs w:val="24"/>
        </w:rPr>
        <w:t>,</w:t>
      </w:r>
    </w:p>
    <w:p w:rsidR="007F09E4" w:rsidRPr="007F09E4" w:rsidRDefault="007F09E4" w:rsidP="00C03F01">
      <w:pPr>
        <w:pStyle w:val="Listaszerbekezds"/>
        <w:numPr>
          <w:ilvl w:val="0"/>
          <w:numId w:val="31"/>
        </w:numPr>
        <w:spacing w:before="60" w:after="60" w:line="360" w:lineRule="exact"/>
        <w:rPr>
          <w:szCs w:val="24"/>
        </w:rPr>
      </w:pPr>
      <w:r w:rsidRPr="007F09E4">
        <w:rPr>
          <w:szCs w:val="24"/>
        </w:rPr>
        <w:t>Anyagtudomány</w:t>
      </w:r>
      <w:r>
        <w:rPr>
          <w:szCs w:val="24"/>
        </w:rPr>
        <w:t>,</w:t>
      </w:r>
    </w:p>
    <w:p w:rsidR="007F09E4" w:rsidRPr="007F09E4" w:rsidRDefault="007F09E4" w:rsidP="00C03F01">
      <w:pPr>
        <w:pStyle w:val="Listaszerbekezds"/>
        <w:numPr>
          <w:ilvl w:val="0"/>
          <w:numId w:val="31"/>
        </w:numPr>
        <w:spacing w:before="60" w:after="60" w:line="360" w:lineRule="exact"/>
        <w:rPr>
          <w:szCs w:val="24"/>
        </w:rPr>
      </w:pPr>
      <w:r w:rsidRPr="007F09E4">
        <w:rPr>
          <w:szCs w:val="24"/>
        </w:rPr>
        <w:t>Asztro- és részecskefizika</w:t>
      </w:r>
      <w:r>
        <w:rPr>
          <w:szCs w:val="24"/>
        </w:rPr>
        <w:t>,</w:t>
      </w:r>
    </w:p>
    <w:p w:rsidR="006D3F7B" w:rsidRPr="007134CF" w:rsidRDefault="007F09E4" w:rsidP="00BA4AC9">
      <w:pPr>
        <w:pStyle w:val="Listaszerbekezds"/>
        <w:numPr>
          <w:ilvl w:val="0"/>
          <w:numId w:val="31"/>
        </w:numPr>
        <w:spacing w:before="60" w:after="200" w:line="360" w:lineRule="exact"/>
        <w:ind w:left="714" w:hanging="357"/>
        <w:rPr>
          <w:szCs w:val="24"/>
        </w:rPr>
      </w:pPr>
      <w:r w:rsidRPr="007F09E4">
        <w:rPr>
          <w:szCs w:val="24"/>
        </w:rPr>
        <w:t>Problémamegoldó rendszerek</w:t>
      </w:r>
      <w:r>
        <w:rPr>
          <w:szCs w:val="24"/>
        </w:rPr>
        <w:t>;</w:t>
      </w:r>
    </w:p>
    <w:p w:rsidR="009B585A" w:rsidRPr="00BA4AC9" w:rsidRDefault="007F09E4" w:rsidP="00C03F01">
      <w:pPr>
        <w:spacing w:before="60" w:after="60" w:line="360" w:lineRule="exact"/>
        <w:jc w:val="both"/>
        <w:rPr>
          <w:rFonts w:ascii="Times New Roman" w:hAnsi="Times New Roman" w:cs="Times New Roman"/>
          <w:b/>
          <w:sz w:val="24"/>
          <w:szCs w:val="24"/>
        </w:rPr>
      </w:pPr>
      <w:r>
        <w:rPr>
          <w:rFonts w:ascii="Times New Roman" w:hAnsi="Times New Roman" w:cs="Times New Roman"/>
          <w:sz w:val="24"/>
          <w:szCs w:val="24"/>
        </w:rPr>
        <w:t>Az Innovációs és Technológiai Minisztérium a futó programok</w:t>
      </w:r>
      <w:r w:rsidR="009B585A" w:rsidRPr="003D4076">
        <w:rPr>
          <w:rFonts w:ascii="Times New Roman" w:hAnsi="Times New Roman" w:cs="Times New Roman"/>
          <w:sz w:val="24"/>
          <w:szCs w:val="24"/>
        </w:rPr>
        <w:t xml:space="preserve"> mellett </w:t>
      </w:r>
      <w:r w:rsidRPr="002A4F21">
        <w:rPr>
          <w:rFonts w:ascii="Times New Roman" w:hAnsi="Times New Roman" w:cs="Times New Roman"/>
          <w:sz w:val="24"/>
          <w:szCs w:val="24"/>
        </w:rPr>
        <w:t xml:space="preserve">3 db új </w:t>
      </w:r>
      <w:r w:rsidR="002A4F21">
        <w:rPr>
          <w:rFonts w:ascii="Times New Roman" w:hAnsi="Times New Roman" w:cs="Times New Roman"/>
          <w:sz w:val="24"/>
          <w:szCs w:val="24"/>
        </w:rPr>
        <w:t xml:space="preserve">tématerület </w:t>
      </w:r>
      <w:r w:rsidRPr="002A4F21">
        <w:rPr>
          <w:rFonts w:ascii="Times New Roman" w:hAnsi="Times New Roman" w:cs="Times New Roman"/>
          <w:sz w:val="24"/>
          <w:szCs w:val="24"/>
        </w:rPr>
        <w:t xml:space="preserve">indítására </w:t>
      </w:r>
      <w:r w:rsidR="009B585A" w:rsidRPr="003D4076">
        <w:rPr>
          <w:rFonts w:ascii="Times New Roman" w:hAnsi="Times New Roman" w:cs="Times New Roman"/>
          <w:sz w:val="24"/>
          <w:szCs w:val="24"/>
        </w:rPr>
        <w:t xml:space="preserve">további évi 1,7 Mrd Ft forrást biztosított évente </w:t>
      </w:r>
      <w:r w:rsidR="002A4F21">
        <w:rPr>
          <w:rFonts w:ascii="Times New Roman" w:hAnsi="Times New Roman" w:cs="Times New Roman"/>
          <w:sz w:val="24"/>
          <w:szCs w:val="24"/>
        </w:rPr>
        <w:t xml:space="preserve">a </w:t>
      </w:r>
      <w:r w:rsidR="002A4F21" w:rsidRPr="002A4F21">
        <w:rPr>
          <w:rFonts w:ascii="Times New Roman" w:hAnsi="Times New Roman" w:cs="Times New Roman"/>
          <w:b/>
          <w:sz w:val="24"/>
          <w:szCs w:val="24"/>
        </w:rPr>
        <w:t>Tématerületi Kiválósági Program keretén belül (</w:t>
      </w:r>
      <w:r w:rsidR="009B585A" w:rsidRPr="002A4F21">
        <w:rPr>
          <w:rFonts w:ascii="Times New Roman" w:hAnsi="Times New Roman" w:cs="Times New Roman"/>
          <w:b/>
          <w:sz w:val="24"/>
          <w:szCs w:val="24"/>
        </w:rPr>
        <w:t xml:space="preserve">TKP). </w:t>
      </w:r>
    </w:p>
    <w:p w:rsidR="009B585A" w:rsidRDefault="009B585A" w:rsidP="00C03F01">
      <w:pPr>
        <w:spacing w:before="60" w:after="60" w:line="360" w:lineRule="exact"/>
        <w:jc w:val="both"/>
        <w:rPr>
          <w:rFonts w:ascii="Times New Roman" w:hAnsi="Times New Roman" w:cs="Times New Roman"/>
          <w:sz w:val="24"/>
          <w:szCs w:val="24"/>
        </w:rPr>
      </w:pPr>
      <w:r w:rsidRPr="003D4076">
        <w:rPr>
          <w:rFonts w:ascii="Times New Roman" w:hAnsi="Times New Roman" w:cs="Times New Roman"/>
          <w:sz w:val="24"/>
          <w:szCs w:val="24"/>
        </w:rPr>
        <w:t xml:space="preserve">Ezen tématerületek: </w:t>
      </w:r>
    </w:p>
    <w:p w:rsidR="009B585A" w:rsidRDefault="009B585A" w:rsidP="00C03F01">
      <w:pPr>
        <w:pStyle w:val="Listaszerbekezds"/>
        <w:numPr>
          <w:ilvl w:val="0"/>
          <w:numId w:val="31"/>
        </w:numPr>
        <w:spacing w:before="60" w:after="60" w:line="360" w:lineRule="exact"/>
        <w:rPr>
          <w:szCs w:val="24"/>
        </w:rPr>
      </w:pPr>
      <w:r w:rsidRPr="009B585A">
        <w:rPr>
          <w:szCs w:val="24"/>
        </w:rPr>
        <w:t xml:space="preserve">a Szint plusz (Szintetikus kémia és biológia), </w:t>
      </w:r>
    </w:p>
    <w:p w:rsidR="009B585A" w:rsidRDefault="007F09E4" w:rsidP="00C03F01">
      <w:pPr>
        <w:pStyle w:val="Listaszerbekezds"/>
        <w:numPr>
          <w:ilvl w:val="0"/>
          <w:numId w:val="31"/>
        </w:numPr>
        <w:spacing w:before="60" w:after="60" w:line="360" w:lineRule="exact"/>
        <w:rPr>
          <w:szCs w:val="24"/>
        </w:rPr>
      </w:pPr>
      <w:r>
        <w:rPr>
          <w:szCs w:val="24"/>
        </w:rPr>
        <w:t>az A</w:t>
      </w:r>
      <w:r w:rsidR="009B585A" w:rsidRPr="009B585A">
        <w:rPr>
          <w:szCs w:val="24"/>
        </w:rPr>
        <w:t>lkalmazás-terület specifikus nagy megbízhatóságú in</w:t>
      </w:r>
      <w:r>
        <w:rPr>
          <w:szCs w:val="24"/>
        </w:rPr>
        <w:t>formatikai megoldások-,</w:t>
      </w:r>
    </w:p>
    <w:p w:rsidR="006D3F7B" w:rsidRPr="007134CF" w:rsidRDefault="009B585A" w:rsidP="00BA4AC9">
      <w:pPr>
        <w:pStyle w:val="Listaszerbekezds"/>
        <w:numPr>
          <w:ilvl w:val="0"/>
          <w:numId w:val="31"/>
        </w:numPr>
        <w:spacing w:before="60" w:after="200" w:line="360" w:lineRule="exact"/>
        <w:ind w:left="714" w:hanging="357"/>
        <w:rPr>
          <w:szCs w:val="24"/>
        </w:rPr>
      </w:pPr>
      <w:r w:rsidRPr="009B585A">
        <w:rPr>
          <w:szCs w:val="24"/>
        </w:rPr>
        <w:t xml:space="preserve">a Közösségépítés, család és </w:t>
      </w:r>
      <w:r w:rsidR="007F09E4">
        <w:rPr>
          <w:szCs w:val="24"/>
        </w:rPr>
        <w:t>nemzet-, hagyomány és innováció;</w:t>
      </w:r>
    </w:p>
    <w:p w:rsidR="007F09E4" w:rsidRDefault="009B585A" w:rsidP="00C03F01">
      <w:pPr>
        <w:spacing w:before="60" w:after="60" w:line="360" w:lineRule="exact"/>
        <w:jc w:val="both"/>
        <w:rPr>
          <w:rFonts w:ascii="Times New Roman" w:hAnsi="Times New Roman" w:cs="Times New Roman"/>
          <w:sz w:val="24"/>
          <w:szCs w:val="24"/>
        </w:rPr>
      </w:pPr>
      <w:r w:rsidRPr="003D4076">
        <w:rPr>
          <w:rFonts w:ascii="Times New Roman" w:hAnsi="Times New Roman" w:cs="Times New Roman"/>
          <w:sz w:val="24"/>
          <w:szCs w:val="24"/>
        </w:rPr>
        <w:t xml:space="preserve">A három fő tématerületen kívül a következő </w:t>
      </w:r>
      <w:r w:rsidRPr="002A4F21">
        <w:rPr>
          <w:rFonts w:ascii="Times New Roman" w:hAnsi="Times New Roman" w:cs="Times New Roman"/>
          <w:b/>
          <w:sz w:val="24"/>
          <w:szCs w:val="24"/>
        </w:rPr>
        <w:t>Lendület kutatócsoportokat</w:t>
      </w:r>
      <w:r w:rsidRPr="003D4076">
        <w:rPr>
          <w:rFonts w:ascii="Times New Roman" w:hAnsi="Times New Roman" w:cs="Times New Roman"/>
          <w:sz w:val="24"/>
          <w:szCs w:val="24"/>
        </w:rPr>
        <w:t xml:space="preserve"> finanszírozzuk a programból: </w:t>
      </w:r>
    </w:p>
    <w:p w:rsidR="007F09E4" w:rsidRDefault="009B585A" w:rsidP="00C03F01">
      <w:pPr>
        <w:pStyle w:val="Listaszerbekezds"/>
        <w:numPr>
          <w:ilvl w:val="0"/>
          <w:numId w:val="31"/>
        </w:numPr>
        <w:spacing w:before="60" w:after="60" w:line="360" w:lineRule="exact"/>
        <w:rPr>
          <w:szCs w:val="24"/>
        </w:rPr>
      </w:pPr>
      <w:r w:rsidRPr="003D4076">
        <w:rPr>
          <w:szCs w:val="24"/>
        </w:rPr>
        <w:t xml:space="preserve">Dinoszaurusz Kutatócsoport, </w:t>
      </w:r>
    </w:p>
    <w:p w:rsidR="007F09E4" w:rsidRDefault="009B585A" w:rsidP="00C03F01">
      <w:pPr>
        <w:pStyle w:val="Listaszerbekezds"/>
        <w:numPr>
          <w:ilvl w:val="0"/>
          <w:numId w:val="31"/>
        </w:numPr>
        <w:spacing w:before="60" w:after="60" w:line="360" w:lineRule="exact"/>
        <w:rPr>
          <w:szCs w:val="24"/>
        </w:rPr>
      </w:pPr>
      <w:r w:rsidRPr="003D4076">
        <w:rPr>
          <w:szCs w:val="24"/>
        </w:rPr>
        <w:t xml:space="preserve">Humanizmus Kelet-Közép-Európába Kutatócsoport, </w:t>
      </w:r>
    </w:p>
    <w:p w:rsidR="006D3F7B" w:rsidRPr="007134CF" w:rsidRDefault="009B585A" w:rsidP="00BA4AC9">
      <w:pPr>
        <w:pStyle w:val="Listaszerbekezds"/>
        <w:numPr>
          <w:ilvl w:val="0"/>
          <w:numId w:val="31"/>
        </w:numPr>
        <w:spacing w:before="60" w:after="200" w:line="360" w:lineRule="exact"/>
        <w:ind w:left="714" w:hanging="357"/>
        <w:rPr>
          <w:szCs w:val="24"/>
        </w:rPr>
      </w:pPr>
      <w:r w:rsidRPr="003D4076">
        <w:rPr>
          <w:szCs w:val="24"/>
        </w:rPr>
        <w:t>Bioinformatika Kutatócsoport</w:t>
      </w:r>
      <w:r w:rsidR="007F09E4">
        <w:rPr>
          <w:szCs w:val="24"/>
        </w:rPr>
        <w:t xml:space="preserve">; </w:t>
      </w:r>
    </w:p>
    <w:p w:rsidR="00845151" w:rsidRDefault="009B585A" w:rsidP="00C03F01">
      <w:pPr>
        <w:spacing w:before="60" w:after="60" w:line="360" w:lineRule="exact"/>
        <w:jc w:val="both"/>
        <w:rPr>
          <w:rFonts w:ascii="Times New Roman" w:hAnsi="Times New Roman" w:cs="Times New Roman"/>
          <w:sz w:val="24"/>
          <w:szCs w:val="24"/>
        </w:rPr>
      </w:pPr>
      <w:r w:rsidRPr="003D4076">
        <w:rPr>
          <w:rFonts w:ascii="Times New Roman" w:hAnsi="Times New Roman" w:cs="Times New Roman"/>
          <w:sz w:val="24"/>
          <w:szCs w:val="24"/>
        </w:rPr>
        <w:t xml:space="preserve">2020. </w:t>
      </w:r>
      <w:r w:rsidR="002A4F21">
        <w:rPr>
          <w:rFonts w:ascii="Times New Roman" w:hAnsi="Times New Roman" w:cs="Times New Roman"/>
          <w:sz w:val="24"/>
          <w:szCs w:val="24"/>
        </w:rPr>
        <w:t>évtől a nevezett 7 tématerület az</w:t>
      </w:r>
      <w:r w:rsidRPr="003D4076">
        <w:rPr>
          <w:rFonts w:ascii="Times New Roman" w:hAnsi="Times New Roman" w:cs="Times New Roman"/>
          <w:sz w:val="24"/>
          <w:szCs w:val="24"/>
        </w:rPr>
        <w:t xml:space="preserve"> </w:t>
      </w:r>
      <w:r w:rsidRPr="002A4F21">
        <w:rPr>
          <w:rFonts w:ascii="Times New Roman" w:hAnsi="Times New Roman" w:cs="Times New Roman"/>
          <w:b/>
          <w:sz w:val="24"/>
          <w:szCs w:val="24"/>
        </w:rPr>
        <w:t>Intézményi Kiv</w:t>
      </w:r>
      <w:r w:rsidR="002A4F21" w:rsidRPr="002A4F21">
        <w:rPr>
          <w:rFonts w:ascii="Times New Roman" w:hAnsi="Times New Roman" w:cs="Times New Roman"/>
          <w:b/>
          <w:sz w:val="24"/>
          <w:szCs w:val="24"/>
        </w:rPr>
        <w:t>álóság</w:t>
      </w:r>
      <w:r w:rsidR="002A4F21">
        <w:rPr>
          <w:rFonts w:ascii="Times New Roman" w:hAnsi="Times New Roman" w:cs="Times New Roman"/>
          <w:sz w:val="24"/>
          <w:szCs w:val="24"/>
        </w:rPr>
        <w:t xml:space="preserve"> és a </w:t>
      </w:r>
      <w:r w:rsidR="002A4F21" w:rsidRPr="002A4F21">
        <w:rPr>
          <w:rFonts w:ascii="Times New Roman" w:hAnsi="Times New Roman" w:cs="Times New Roman"/>
          <w:b/>
          <w:sz w:val="24"/>
          <w:szCs w:val="24"/>
        </w:rPr>
        <w:t>Nemzeti Kihívások</w:t>
      </w:r>
      <w:r w:rsidR="002A4F21">
        <w:rPr>
          <w:rFonts w:ascii="Times New Roman" w:hAnsi="Times New Roman" w:cs="Times New Roman"/>
          <w:sz w:val="24"/>
          <w:szCs w:val="24"/>
        </w:rPr>
        <w:t xml:space="preserve"> al</w:t>
      </w:r>
      <w:r w:rsidRPr="003D4076">
        <w:rPr>
          <w:rFonts w:ascii="Times New Roman" w:hAnsi="Times New Roman" w:cs="Times New Roman"/>
          <w:sz w:val="24"/>
          <w:szCs w:val="24"/>
        </w:rPr>
        <w:t>programok keretein belül valósulnak meg és a vizsgált időszakban 25,7 %-át képezték a teljes kutatási forrásokn</w:t>
      </w:r>
      <w:r w:rsidR="00252EE6">
        <w:rPr>
          <w:rFonts w:ascii="Times New Roman" w:hAnsi="Times New Roman" w:cs="Times New Roman"/>
          <w:sz w:val="24"/>
          <w:szCs w:val="24"/>
        </w:rPr>
        <w:t>ak (IKA_2020/21 és NKA_2020/21)</w:t>
      </w:r>
    </w:p>
    <w:p w:rsidR="006D3F7B" w:rsidRDefault="006D3F7B" w:rsidP="00252EE6">
      <w:pPr>
        <w:spacing w:before="60" w:after="60" w:line="360" w:lineRule="exact"/>
        <w:jc w:val="both"/>
        <w:rPr>
          <w:rFonts w:ascii="Times New Roman" w:hAnsi="Times New Roman" w:cs="Times New Roman"/>
          <w:sz w:val="24"/>
          <w:szCs w:val="24"/>
        </w:rPr>
      </w:pPr>
    </w:p>
    <w:p w:rsidR="006D3F7B" w:rsidRDefault="006D3F7B" w:rsidP="00252EE6">
      <w:pPr>
        <w:spacing w:before="60" w:after="60" w:line="360" w:lineRule="exact"/>
        <w:jc w:val="both"/>
        <w:rPr>
          <w:rFonts w:ascii="Times New Roman" w:hAnsi="Times New Roman" w:cs="Times New Roman"/>
          <w:sz w:val="24"/>
          <w:szCs w:val="24"/>
        </w:rPr>
      </w:pPr>
    </w:p>
    <w:p w:rsidR="006D3F7B" w:rsidRDefault="006D3F7B" w:rsidP="00252EE6">
      <w:pPr>
        <w:spacing w:before="60" w:after="60" w:line="360" w:lineRule="exact"/>
        <w:jc w:val="both"/>
        <w:rPr>
          <w:rFonts w:ascii="Times New Roman" w:hAnsi="Times New Roman" w:cs="Times New Roman"/>
          <w:sz w:val="24"/>
          <w:szCs w:val="24"/>
        </w:rPr>
      </w:pPr>
    </w:p>
    <w:p w:rsidR="006D3F7B" w:rsidRDefault="006D3F7B" w:rsidP="00252EE6">
      <w:pPr>
        <w:spacing w:before="60" w:after="60" w:line="360" w:lineRule="exact"/>
        <w:jc w:val="both"/>
        <w:rPr>
          <w:rFonts w:ascii="Times New Roman" w:hAnsi="Times New Roman" w:cs="Times New Roman"/>
          <w:sz w:val="24"/>
          <w:szCs w:val="24"/>
        </w:rPr>
      </w:pPr>
    </w:p>
    <w:p w:rsidR="00252EE6" w:rsidRPr="00252EE6" w:rsidRDefault="00845151" w:rsidP="00252EE6">
      <w:pPr>
        <w:spacing w:before="60" w:after="60" w:line="360" w:lineRule="exact"/>
        <w:jc w:val="both"/>
        <w:rPr>
          <w:rFonts w:ascii="Times New Roman" w:hAnsi="Times New Roman" w:cs="Times New Roman"/>
          <w:sz w:val="24"/>
          <w:szCs w:val="24"/>
        </w:rPr>
      </w:pPr>
      <w:r>
        <w:rPr>
          <w:rFonts w:ascii="Times New Roman" w:hAnsi="Times New Roman" w:cs="Times New Roman"/>
          <w:sz w:val="24"/>
          <w:szCs w:val="24"/>
        </w:rPr>
        <w:lastRenderedPageBreak/>
        <w:t>A két alábbi kördiagram szemlélteti a 2020. évi kiadások tématerületenkénti megbontását és a Lendület kutatócsop</w:t>
      </w:r>
      <w:r w:rsidR="00252EE6">
        <w:rPr>
          <w:rFonts w:ascii="Times New Roman" w:hAnsi="Times New Roman" w:cs="Times New Roman"/>
          <w:sz w:val="24"/>
          <w:szCs w:val="24"/>
        </w:rPr>
        <w:t>ortok finanszírozását forintban.</w:t>
      </w:r>
    </w:p>
    <w:p w:rsidR="00291122" w:rsidRDefault="00252EE6">
      <w:pPr>
        <w:rPr>
          <w:rFonts w:ascii="Times New Roman" w:hAnsi="Times New Roman" w:cs="Times New Roman"/>
          <w:b/>
          <w:sz w:val="24"/>
          <w:szCs w:val="24"/>
          <w:lang w:eastAsia="hu-HU"/>
        </w:rPr>
      </w:pPr>
      <w:r>
        <w:rPr>
          <w:rFonts w:ascii="Times New Roman" w:hAnsi="Times New Roman" w:cs="Times New Roman"/>
          <w:b/>
          <w:noProof/>
          <w:sz w:val="24"/>
          <w:szCs w:val="24"/>
          <w:lang w:eastAsia="hu-HU"/>
        </w:rPr>
        <w:drawing>
          <wp:inline distT="0" distB="0" distL="0" distR="0" wp14:anchorId="16DEAC5C" wp14:editId="77870E8C">
            <wp:extent cx="5486400" cy="356235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7035" cy="3562762"/>
                    </a:xfrm>
                    <a:prstGeom prst="rect">
                      <a:avLst/>
                    </a:prstGeom>
                    <a:noFill/>
                  </pic:spPr>
                </pic:pic>
              </a:graphicData>
            </a:graphic>
          </wp:inline>
        </w:drawing>
      </w:r>
    </w:p>
    <w:p w:rsidR="00291122" w:rsidRDefault="00252EE6">
      <w:pPr>
        <w:rPr>
          <w:rFonts w:ascii="Times New Roman" w:hAnsi="Times New Roman" w:cs="Times New Roman"/>
          <w:b/>
          <w:sz w:val="24"/>
          <w:szCs w:val="24"/>
          <w:lang w:eastAsia="hu-HU"/>
        </w:rPr>
      </w:pPr>
      <w:r>
        <w:rPr>
          <w:rFonts w:ascii="Times New Roman" w:hAnsi="Times New Roman" w:cs="Times New Roman"/>
          <w:noProof/>
          <w:sz w:val="24"/>
          <w:szCs w:val="24"/>
          <w:lang w:eastAsia="hu-HU"/>
        </w:rPr>
        <w:drawing>
          <wp:inline distT="0" distB="0" distL="0" distR="0" wp14:anchorId="643BBD8B" wp14:editId="62E35EE7">
            <wp:extent cx="5486400" cy="3571875"/>
            <wp:effectExtent l="0" t="0" r="0" b="9525"/>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7265" cy="3572438"/>
                    </a:xfrm>
                    <a:prstGeom prst="rect">
                      <a:avLst/>
                    </a:prstGeom>
                    <a:noFill/>
                  </pic:spPr>
                </pic:pic>
              </a:graphicData>
            </a:graphic>
          </wp:inline>
        </w:drawing>
      </w:r>
    </w:p>
    <w:p w:rsidR="00BA4AC9" w:rsidRDefault="00BA4AC9" w:rsidP="008563E8">
      <w:pPr>
        <w:spacing w:before="60" w:after="60" w:line="360" w:lineRule="exact"/>
        <w:rPr>
          <w:rFonts w:ascii="Times New Roman" w:hAnsi="Times New Roman" w:cs="Times New Roman"/>
          <w:b/>
          <w:sz w:val="24"/>
          <w:szCs w:val="24"/>
          <w:lang w:eastAsia="hu-HU"/>
        </w:rPr>
      </w:pPr>
    </w:p>
    <w:p w:rsidR="00BA4AC9" w:rsidRDefault="00BA4AC9" w:rsidP="008563E8">
      <w:pPr>
        <w:spacing w:before="60" w:after="60" w:line="360" w:lineRule="exact"/>
        <w:rPr>
          <w:rFonts w:ascii="Times New Roman" w:hAnsi="Times New Roman" w:cs="Times New Roman"/>
          <w:b/>
          <w:sz w:val="24"/>
          <w:szCs w:val="24"/>
          <w:lang w:eastAsia="hu-HU"/>
        </w:rPr>
      </w:pPr>
    </w:p>
    <w:p w:rsidR="00BA4AC9" w:rsidRDefault="00BA4AC9" w:rsidP="008563E8">
      <w:pPr>
        <w:spacing w:before="60" w:after="60" w:line="360" w:lineRule="exact"/>
        <w:rPr>
          <w:rFonts w:ascii="Times New Roman" w:hAnsi="Times New Roman" w:cs="Times New Roman"/>
          <w:b/>
          <w:sz w:val="24"/>
          <w:szCs w:val="24"/>
          <w:lang w:eastAsia="hu-HU"/>
        </w:rPr>
      </w:pPr>
    </w:p>
    <w:p w:rsidR="003E686B" w:rsidRPr="008563E8" w:rsidRDefault="00AD67D1" w:rsidP="00BA4AC9">
      <w:pPr>
        <w:spacing w:before="60" w:line="360" w:lineRule="exact"/>
        <w:rPr>
          <w:rFonts w:ascii="Times New Roman" w:hAnsi="Times New Roman" w:cs="Times New Roman"/>
          <w:b/>
          <w:sz w:val="24"/>
          <w:szCs w:val="24"/>
          <w:lang w:eastAsia="hu-HU"/>
        </w:rPr>
      </w:pPr>
      <w:r w:rsidRPr="00890730">
        <w:rPr>
          <w:rFonts w:ascii="Times New Roman" w:hAnsi="Times New Roman" w:cs="Times New Roman"/>
          <w:b/>
          <w:sz w:val="24"/>
          <w:szCs w:val="24"/>
          <w:lang w:eastAsia="hu-HU"/>
        </w:rPr>
        <w:lastRenderedPageBreak/>
        <w:t>I.5 Kari szervezetbe nem tartoz</w:t>
      </w:r>
      <w:r w:rsidR="008563E8">
        <w:rPr>
          <w:rFonts w:ascii="Times New Roman" w:hAnsi="Times New Roman" w:cs="Times New Roman"/>
          <w:b/>
          <w:sz w:val="24"/>
          <w:szCs w:val="24"/>
          <w:lang w:eastAsia="hu-HU"/>
        </w:rPr>
        <w:t xml:space="preserve">ó oktatási , kutatási egységek </w:t>
      </w:r>
    </w:p>
    <w:p w:rsidR="003E686B" w:rsidRPr="000B6D5E" w:rsidRDefault="003E686B" w:rsidP="00C03F01">
      <w:pPr>
        <w:keepNext/>
        <w:spacing w:before="60" w:after="60" w:line="360" w:lineRule="exact"/>
        <w:outlineLvl w:val="1"/>
        <w:rPr>
          <w:rFonts w:ascii="Times New Roman" w:eastAsia="Times New Roman" w:hAnsi="Times New Roman" w:cs="Times New Roman"/>
          <w:sz w:val="24"/>
          <w:szCs w:val="24"/>
          <w:lang w:eastAsia="hu-HU"/>
        </w:rPr>
      </w:pPr>
      <w:bookmarkStart w:id="0" w:name="_Toc508785594"/>
      <w:bookmarkStart w:id="1" w:name="_Toc2865670"/>
      <w:r w:rsidRPr="000B6D5E">
        <w:rPr>
          <w:rFonts w:ascii="Times New Roman" w:eastAsia="Times New Roman" w:hAnsi="Times New Roman" w:cs="Times New Roman"/>
          <w:b/>
          <w:sz w:val="24"/>
          <w:szCs w:val="24"/>
          <w:lang w:eastAsia="hu-HU"/>
        </w:rPr>
        <w:t>I.5.1.</w:t>
      </w:r>
      <w:r>
        <w:rPr>
          <w:rFonts w:ascii="Times New Roman" w:eastAsia="Times New Roman" w:hAnsi="Times New Roman" w:cs="Times New Roman"/>
          <w:b/>
          <w:sz w:val="24"/>
          <w:szCs w:val="24"/>
          <w:lang w:eastAsia="hu-HU"/>
        </w:rPr>
        <w:t xml:space="preserve"> </w:t>
      </w:r>
      <w:r w:rsidRPr="000B6D5E">
        <w:rPr>
          <w:rFonts w:ascii="Times New Roman" w:eastAsia="Times New Roman" w:hAnsi="Times New Roman" w:cs="Times New Roman"/>
          <w:b/>
          <w:sz w:val="24"/>
          <w:szCs w:val="24"/>
          <w:lang w:eastAsia="hu-HU"/>
        </w:rPr>
        <w:t>Füvészkert</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Az egyetem egyik legrégebbi, 1771-től működő intézménye, mely a kezdetektől a mai napig a növénytani, élettani és szervezettani oktatást és kutatást szolgálja. Az intézmény 2017-2021 közötti fő célkitűzésének megfelelően fejleszti szervezeti és működési kereteit, szakmai tevékenységének megújulásával együtt.</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Bővítette a közép-, illetve a felsőoktatásban résztvevő hallgatók oktatási anyagát, fejlesztik a botanikus kertben folyó tudományos munkát, a közeljövőben több rangos nemzetközi szakmai programnak ad otthont. Korszerűsítette az ismeretterjesztést, számos új, a legújabb nemzetközi elvárásoknak is megfelelő szemléltető eszköz és módszer alkalmazásával. Mindemellett szociális feladatokat is ellátott, a kert megváltozott munkaképességű dolgozókat is foglalkoztatott, ezzel is támogatva átképzésüket.</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Rendkívül fontos a megújuló kert tudományos és kutatási munkáinak felfrissítése, aktualizálása, különös tekintettel az innovációs megoldásokra.</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bCs/>
          <w:sz w:val="24"/>
          <w:szCs w:val="24"/>
          <w:lang w:eastAsia="hu-HU"/>
        </w:rPr>
        <w:t>A szakmai feladatellátásának keretében végzett tevékenységei között a</w:t>
      </w:r>
      <w:r w:rsidRPr="000B6D5E">
        <w:rPr>
          <w:rFonts w:ascii="Times New Roman" w:eastAsia="Times New Roman" w:hAnsi="Times New Roman" w:cs="Times New Roman"/>
          <w:b/>
          <w:bCs/>
          <w:sz w:val="24"/>
          <w:szCs w:val="24"/>
          <w:lang w:eastAsia="hu-HU"/>
        </w:rPr>
        <w:t xml:space="preserve"> </w:t>
      </w:r>
      <w:r w:rsidRPr="000B6D5E">
        <w:rPr>
          <w:rFonts w:ascii="Times New Roman" w:eastAsia="Times New Roman" w:hAnsi="Times New Roman" w:cs="Times New Roman"/>
          <w:sz w:val="24"/>
          <w:szCs w:val="24"/>
          <w:lang w:eastAsia="hu-HU"/>
        </w:rPr>
        <w:t xml:space="preserve">Botanikus Kert az Európai Unió és a nemzetközi (IABG, BGCI) és hazai botanikus kerti szervezetek tagjaként (MABOSZ), azok célkitűzéseit és direktíváit követve látja el főbb tevékenységi köreit, mindemellett a felsőoktatási törvényben is megfogalmazott feladatait teljesíti. </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A Botanikus Kert élő múzeum, tudományos közgyűjtemény, amelynek feladata az é</w:t>
      </w:r>
      <w:r w:rsidRPr="000B6D5E">
        <w:rPr>
          <w:rFonts w:ascii="Times New Roman" w:eastAsia="Times New Roman" w:hAnsi="Times New Roman" w:cs="Times New Roman"/>
          <w:bCs/>
          <w:sz w:val="24"/>
          <w:szCs w:val="24"/>
          <w:lang w:eastAsia="hu-HU"/>
        </w:rPr>
        <w:t xml:space="preserve">lő növénygyűjtemény, mint tudományos közgyűjtemény folyamatos fenntartása, gyarapítása. Ennek keretében </w:t>
      </w:r>
      <w:r w:rsidRPr="000B6D5E">
        <w:rPr>
          <w:rFonts w:ascii="Times New Roman" w:eastAsia="Times New Roman" w:hAnsi="Times New Roman" w:cs="Times New Roman"/>
          <w:sz w:val="24"/>
          <w:szCs w:val="24"/>
          <w:lang w:eastAsia="hu-HU"/>
        </w:rPr>
        <w:t xml:space="preserve">a biodiverzitás szemléltetése, a fajismeret elsajátításának elősegítése, növényföldrajzi, ökológiai összefüggések és azok gyakorlati alkalmazásának bemutatása, növényélettani és genetikai oktatás-kutatás terepi bázisa. </w:t>
      </w:r>
      <w:r w:rsidRPr="000B6D5E">
        <w:rPr>
          <w:rFonts w:ascii="Times New Roman" w:eastAsia="Times New Roman" w:hAnsi="Times New Roman" w:cs="Times New Roman"/>
          <w:b/>
          <w:sz w:val="24"/>
          <w:szCs w:val="24"/>
          <w:lang w:eastAsia="hu-HU"/>
        </w:rPr>
        <w:t>340 hazai védett fajt</w:t>
      </w:r>
      <w:r w:rsidRPr="000B6D5E">
        <w:rPr>
          <w:rFonts w:ascii="Times New Roman" w:eastAsia="Times New Roman" w:hAnsi="Times New Roman" w:cs="Times New Roman"/>
          <w:sz w:val="24"/>
          <w:szCs w:val="24"/>
          <w:lang w:eastAsia="hu-HU"/>
        </w:rPr>
        <w:t xml:space="preserve">, valamint több mint </w:t>
      </w:r>
      <w:r w:rsidRPr="000B6D5E">
        <w:rPr>
          <w:rFonts w:ascii="Times New Roman" w:eastAsia="Times New Roman" w:hAnsi="Times New Roman" w:cs="Times New Roman"/>
          <w:b/>
          <w:sz w:val="24"/>
          <w:szCs w:val="24"/>
          <w:lang w:eastAsia="hu-HU"/>
        </w:rPr>
        <w:t>330 világviszonylatban is veszélyeztetett</w:t>
      </w:r>
      <w:r w:rsidRPr="000B6D5E">
        <w:rPr>
          <w:rFonts w:ascii="Times New Roman" w:eastAsia="Times New Roman" w:hAnsi="Times New Roman" w:cs="Times New Roman"/>
          <w:sz w:val="24"/>
          <w:szCs w:val="24"/>
          <w:lang w:eastAsia="hu-HU"/>
        </w:rPr>
        <w:t xml:space="preserve"> – a Nemzetközi Természetvédelmi Unió (IUCN) által is védett – vörös listás fajt őriz. 2020-ban a taxonszám </w:t>
      </w:r>
      <w:r w:rsidRPr="000B6D5E">
        <w:rPr>
          <w:rFonts w:ascii="Times New Roman" w:eastAsia="Times New Roman" w:hAnsi="Times New Roman" w:cs="Times New Roman"/>
          <w:b/>
          <w:sz w:val="24"/>
          <w:szCs w:val="24"/>
          <w:lang w:eastAsia="hu-HU"/>
        </w:rPr>
        <w:t>8 654-</w:t>
      </w:r>
      <w:r w:rsidRPr="000B6D5E">
        <w:rPr>
          <w:rFonts w:ascii="Times New Roman" w:eastAsia="Times New Roman" w:hAnsi="Times New Roman" w:cs="Times New Roman"/>
          <w:sz w:val="24"/>
          <w:szCs w:val="24"/>
          <w:lang w:eastAsia="hu-HU"/>
        </w:rPr>
        <w:t>re növekedett</w:t>
      </w:r>
      <w:r w:rsidRPr="000B6D5E">
        <w:rPr>
          <w:rFonts w:ascii="Times New Roman" w:eastAsia="Times New Roman" w:hAnsi="Times New Roman" w:cs="Times New Roman"/>
          <w:b/>
          <w:sz w:val="24"/>
          <w:szCs w:val="24"/>
          <w:lang w:eastAsia="hu-HU"/>
        </w:rPr>
        <w:t xml:space="preserve">. </w:t>
      </w:r>
      <w:r w:rsidRPr="000B6D5E">
        <w:rPr>
          <w:rFonts w:ascii="Times New Roman" w:eastAsia="Times New Roman" w:hAnsi="Times New Roman" w:cs="Times New Roman"/>
          <w:sz w:val="24"/>
          <w:szCs w:val="24"/>
          <w:lang w:eastAsia="hu-HU"/>
        </w:rPr>
        <w:t xml:space="preserve">Ez a hazai védett, veszélyeztetett fajok begyűjtésével és ex-situ megőrzési program kiterjesztésével történt. A tudományos oktatás és kutatás mellett a kert egyik legfontosabb feladata az ismeretterjesztés. A 2020-as évben közel </w:t>
      </w:r>
      <w:r w:rsidRPr="000B6D5E">
        <w:rPr>
          <w:rFonts w:ascii="Times New Roman" w:eastAsia="Times New Roman" w:hAnsi="Times New Roman" w:cs="Times New Roman"/>
          <w:b/>
          <w:sz w:val="24"/>
          <w:szCs w:val="24"/>
          <w:lang w:eastAsia="hu-HU"/>
        </w:rPr>
        <w:t>29 000</w:t>
      </w:r>
      <w:r w:rsidRPr="000B6D5E">
        <w:rPr>
          <w:rFonts w:ascii="Times New Roman" w:eastAsia="Times New Roman" w:hAnsi="Times New Roman" w:cs="Times New Roman"/>
          <w:sz w:val="24"/>
          <w:szCs w:val="24"/>
          <w:lang w:eastAsia="hu-HU"/>
        </w:rPr>
        <w:t xml:space="preserve"> </w:t>
      </w:r>
      <w:r w:rsidRPr="000B6D5E">
        <w:rPr>
          <w:rFonts w:ascii="Times New Roman" w:eastAsia="Times New Roman" w:hAnsi="Times New Roman" w:cs="Times New Roman"/>
          <w:b/>
          <w:sz w:val="24"/>
          <w:szCs w:val="24"/>
          <w:lang w:eastAsia="hu-HU"/>
        </w:rPr>
        <w:t>ezer látogató</w:t>
      </w:r>
      <w:r w:rsidRPr="000B6D5E">
        <w:rPr>
          <w:rFonts w:ascii="Times New Roman" w:eastAsia="Times New Roman" w:hAnsi="Times New Roman" w:cs="Times New Roman"/>
          <w:sz w:val="24"/>
          <w:szCs w:val="24"/>
          <w:lang w:eastAsia="hu-HU"/>
        </w:rPr>
        <w:t xml:space="preserve">t fogadott a kert – a pandémia miatt – rövidebb nyitva tartása ellenére. (2019-ben ez a szám az 55 000-et is megközelítette). Ebben az időszakban folytathattuk – az egészségügyi óvintézkedések betartatása mellett - a korábbi években is sikerrel végzett, több nagykövetséggel közösen szervezett tematikus és szakmai rendezvényinket (pl. a Füge Napot Mladen Andrlić, a Horvát Köztársaság magyarországi nagykövete, később pedig a Paradicsom Napot Anunciada Fernández de Córdova y Alonso Viguera Spanyolország budapesti nagykövetasszonya jelenlétében). A 2018-ban átadott FűFa tankertünkben </w:t>
      </w:r>
      <w:r w:rsidRPr="000B6D5E">
        <w:rPr>
          <w:rFonts w:ascii="Times New Roman" w:eastAsia="Times New Roman" w:hAnsi="Times New Roman" w:cs="Times New Roman"/>
          <w:b/>
          <w:sz w:val="24"/>
          <w:szCs w:val="24"/>
          <w:lang w:eastAsia="hu-HU"/>
        </w:rPr>
        <w:t>1100 gyermek</w:t>
      </w:r>
      <w:r w:rsidRPr="000B6D5E">
        <w:rPr>
          <w:rFonts w:ascii="Times New Roman" w:eastAsia="Times New Roman" w:hAnsi="Times New Roman" w:cs="Times New Roman"/>
          <w:sz w:val="24"/>
          <w:szCs w:val="24"/>
          <w:lang w:eastAsia="hu-HU"/>
        </w:rPr>
        <w:t xml:space="preserve"> növényismereti és kertészeti foglalkozását tartottuk meg. A kert nem élő, évszázados múltra visszatekintő növénygyűjteményeinek, </w:t>
      </w:r>
      <w:r w:rsidRPr="000B6D5E">
        <w:rPr>
          <w:rFonts w:ascii="Times New Roman" w:eastAsia="Times New Roman" w:hAnsi="Times New Roman" w:cs="Times New Roman"/>
          <w:b/>
          <w:sz w:val="24"/>
          <w:szCs w:val="24"/>
          <w:lang w:eastAsia="hu-HU"/>
        </w:rPr>
        <w:t xml:space="preserve">5000 kötetes könyvtárának, 30 000 lapos herbáriumnak és </w:t>
      </w:r>
      <w:r w:rsidRPr="000B6D5E">
        <w:rPr>
          <w:rFonts w:ascii="Times New Roman" w:eastAsia="Times New Roman" w:hAnsi="Times New Roman" w:cs="Times New Roman"/>
          <w:b/>
          <w:sz w:val="24"/>
          <w:szCs w:val="24"/>
          <w:lang w:eastAsia="hu-HU"/>
        </w:rPr>
        <w:lastRenderedPageBreak/>
        <w:t>12 000 tételes maggyűjtemények</w:t>
      </w:r>
      <w:r w:rsidRPr="000B6D5E">
        <w:rPr>
          <w:rFonts w:ascii="Times New Roman" w:eastAsia="Times New Roman" w:hAnsi="Times New Roman" w:cs="Times New Roman"/>
          <w:sz w:val="24"/>
          <w:szCs w:val="24"/>
          <w:lang w:eastAsia="hu-HU"/>
        </w:rPr>
        <w:t xml:space="preserve"> a rendezését végeztük. Megkezdtük a felkészülést a kert alapításának 250. évfordulójának megünneplésére, így az előbbi gyűjtemények modern eszközökkel történő megismertetésére is megkezdtük a felkészülést (pl. érintőképernyős interaktív feladatokhoz elkészült a képanyag).</w:t>
      </w:r>
    </w:p>
    <w:p w:rsidR="003E686B" w:rsidRPr="000B6D5E" w:rsidRDefault="003E686B" w:rsidP="00C03F01">
      <w:pPr>
        <w:autoSpaceDE w:val="0"/>
        <w:autoSpaceDN w:val="0"/>
        <w:spacing w:before="60" w:after="6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A kert gyűjteményfejlesztése és -megosztása érdekében 1788 óta minden évben magcseretevékenységet végez, a világ 379 botanikus kertjével és arborétumával Japántól az USA-ig küldtünk és fogadtunk magtételeket.</w:t>
      </w:r>
    </w:p>
    <w:p w:rsidR="003E686B" w:rsidRPr="008563E8" w:rsidRDefault="003E686B" w:rsidP="00BA4AC9">
      <w:pPr>
        <w:spacing w:before="60" w:after="240" w:line="360" w:lineRule="exact"/>
        <w:jc w:val="both"/>
        <w:rPr>
          <w:rFonts w:ascii="Times New Roman" w:eastAsia="Times New Roman" w:hAnsi="Times New Roman" w:cs="Times New Roman"/>
          <w:sz w:val="24"/>
          <w:szCs w:val="24"/>
          <w:lang w:eastAsia="hu-HU"/>
        </w:rPr>
      </w:pPr>
      <w:r w:rsidRPr="000B6D5E">
        <w:rPr>
          <w:rFonts w:ascii="Times New Roman" w:eastAsia="Times New Roman" w:hAnsi="Times New Roman" w:cs="Times New Roman"/>
          <w:sz w:val="24"/>
          <w:szCs w:val="24"/>
          <w:lang w:eastAsia="hu-HU"/>
        </w:rPr>
        <w:t xml:space="preserve">A gödi Biológiai Állomás Huzella Kert néven 2018 óta </w:t>
      </w:r>
      <w:r w:rsidRPr="000B6D5E">
        <w:rPr>
          <w:rFonts w:ascii="Times New Roman" w:eastAsia="Times New Roman" w:hAnsi="Times New Roman" w:cs="Times New Roman"/>
          <w:b/>
          <w:sz w:val="24"/>
          <w:szCs w:val="24"/>
          <w:lang w:eastAsia="hu-HU"/>
        </w:rPr>
        <w:t>közfeladatok ellátására is alkalmassá vált.</w:t>
      </w:r>
      <w:r w:rsidRPr="000B6D5E">
        <w:rPr>
          <w:rFonts w:ascii="Times New Roman" w:eastAsia="Times New Roman" w:hAnsi="Times New Roman" w:cs="Times New Roman"/>
          <w:sz w:val="24"/>
          <w:szCs w:val="24"/>
          <w:lang w:eastAsia="hu-HU"/>
        </w:rPr>
        <w:t xml:space="preserve">  Jelentős szerepet vállal az egyetem különböző egységeinek növényesítése, oktatási növényanyaggal való ellátásában és zöldfelület kialakítása terén, ellátja a Lágymányosi Campus, a Trefort-kert szakmai felügyeletét.</w:t>
      </w:r>
    </w:p>
    <w:p w:rsidR="003E686B" w:rsidRPr="00330D3C" w:rsidRDefault="003E686B" w:rsidP="00C03F01">
      <w:pPr>
        <w:spacing w:before="60" w:after="60" w:line="360" w:lineRule="exact"/>
        <w:rPr>
          <w:rFonts w:ascii="Times New Roman" w:eastAsia="Times New Roman" w:hAnsi="Times New Roman" w:cs="Times New Roman"/>
          <w:b/>
          <w:sz w:val="24"/>
          <w:szCs w:val="24"/>
          <w:lang w:eastAsia="hu-HU"/>
        </w:rPr>
      </w:pPr>
      <w:r w:rsidRPr="00330D3C">
        <w:rPr>
          <w:rFonts w:ascii="Times New Roman" w:eastAsia="Times New Roman" w:hAnsi="Times New Roman" w:cs="Times New Roman"/>
          <w:b/>
          <w:sz w:val="24"/>
          <w:szCs w:val="24"/>
          <w:lang w:eastAsia="hu-HU"/>
        </w:rPr>
        <w:t>I.5.2. Gothard Asztrofizikai Obszervatórium MKK</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Az Obszervatóriumban 2020-ban is folytatták az asztrofizikai kutatásokat. Földi bázisú fotometriai, gyorsfotometriai, spektroszkópiai és űrfotometriai módszerekkel, illetve nagy teljesítményű numerikus asztrofizikai számításokkal végezték a kutatásokat. 2020 márciusában került az Obszervatóriumban végleges helyére az ELTE nagyenergiájú asztrofizikai témájú EFOP pályázatának keretében a műholdvevő állomás, amely számos meglévő és esetleges jövőben fejlesztendő műholddal való kapcsolattartást teszi lehetővé. 2020 végén zárult a Kozmikus hatások és kockázatok c. GINOP pályázatuk, amelynek keretében az Obszervatórium történetének eddigi legnagyobb műszerfejlesztésére kerülhetett sor, és a megfigyelési arzenál is bővült gyorsfotometriai és g</w:t>
      </w:r>
      <w:r>
        <w:rPr>
          <w:rFonts w:ascii="Times New Roman" w:eastAsia="Times New Roman" w:hAnsi="Times New Roman" w:cs="Times New Roman"/>
          <w:sz w:val="24"/>
          <w:szCs w:val="24"/>
          <w:lang w:eastAsia="hu-HU"/>
        </w:rPr>
        <w:t xml:space="preserve">yors képalkotási módszerekkel. </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2020-ban megjelentettek 27 tudományos közleményt (19 referált Q1) és az ezekre már beérkezett hivatkozások száma 364. Az összes közleményre 2020-ban a hivatkozások száma 2950 volt. Az obszervatórium műszereivel, valamint a partner intézeteknél vendégkutatóként számos alkalommal végeztek gyors reagálású utánkövetéses spektroszkópiai és képalkotó megfigyeléseket. A follow-up vizsgálatok segítségével a nagy- és űrtávcsöves adatok további részletes</w:t>
      </w:r>
      <w:r>
        <w:rPr>
          <w:rFonts w:ascii="Times New Roman" w:eastAsia="Times New Roman" w:hAnsi="Times New Roman" w:cs="Times New Roman"/>
          <w:sz w:val="24"/>
          <w:szCs w:val="24"/>
          <w:lang w:eastAsia="hu-HU"/>
        </w:rPr>
        <w:t xml:space="preserve"> magyarázatára nyílt lehetőség.</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2020. március 18-án kezdetét vette a CHEOPS exobolygókutató űrtávcső tudományos üzemmódja. A küldetés technikai paramétereit a konzorcium – benne az ELTE Gothard Asztrofizikai Obszervatóriummal - részletes cikkben közölte. A CHEOPS első publikált eredményei a WASP-189b exobolygó vizsgálata volt, további munkák közlése 2021</w:t>
      </w:r>
      <w:r>
        <w:rPr>
          <w:rFonts w:ascii="Times New Roman" w:eastAsia="Times New Roman" w:hAnsi="Times New Roman" w:cs="Times New Roman"/>
          <w:sz w:val="24"/>
          <w:szCs w:val="24"/>
          <w:lang w:eastAsia="hu-HU"/>
        </w:rPr>
        <w:t xml:space="preserve"> elején dömpingszerűen várható.</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Röviddel az XO-6b exobolygó felfedezése után az objektumot fotometriai és spektroszkópiai módszerekkel kezdték el tanulmányozni. A TESS adatai alapján megerősítették a Kepler-13Ab bolygó perihéliumvándorlását, és meghatározták a csillag és a bolygópálya térbeli poz</w:t>
      </w:r>
      <w:r>
        <w:rPr>
          <w:rFonts w:ascii="Times New Roman" w:eastAsia="Times New Roman" w:hAnsi="Times New Roman" w:cs="Times New Roman"/>
          <w:sz w:val="24"/>
          <w:szCs w:val="24"/>
          <w:lang w:eastAsia="hu-HU"/>
        </w:rPr>
        <w:t>ícióját és kölcsönös helyzetét.</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lastRenderedPageBreak/>
        <w:t>Részt vettek az APOGEE-2 spektroszkópiai égboltfelmérő program adatainak publikálásában, különös tekintettel a gömbhalmazok többszörös populációira; és a redukciós pipeline fejlesztésében inte</w:t>
      </w:r>
      <w:r>
        <w:rPr>
          <w:rFonts w:ascii="Times New Roman" w:eastAsia="Times New Roman" w:hAnsi="Times New Roman" w:cs="Times New Roman"/>
          <w:sz w:val="24"/>
          <w:szCs w:val="24"/>
          <w:lang w:eastAsia="hu-HU"/>
        </w:rPr>
        <w:t>rpolációs kódok kidolgozásával.</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 xml:space="preserve">Közölték 10 transzneptun objektum és számos Hilda és főövi kisbolygók forgási paramétereit a Kepler-űrtávcsővel, a Hilda csoportban nagy számű kettős kisbolygó jelenlétét igazolták. Az ELKH CSFK-val közös kutatásban közel 10 ezer kisbolygó TESS-űrtávcső által rögzített fotometriai adatsorát egyesével átnézve és kiértékelve közölték a TESS Solar </w:t>
      </w:r>
      <w:r>
        <w:rPr>
          <w:rFonts w:ascii="Times New Roman" w:eastAsia="Times New Roman" w:hAnsi="Times New Roman" w:cs="Times New Roman"/>
          <w:sz w:val="24"/>
          <w:szCs w:val="24"/>
          <w:lang w:eastAsia="hu-HU"/>
        </w:rPr>
        <w:t xml:space="preserve">System Objects DR1 adatbázist. </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Vizsgálták az EE Cep egy hosszúperiódusú fedési kettőst porkorongos rendszerben, és a WV LMi rendszert, ahol pályaprecessziót mutattak ki. A TESS űrtávcső mérései alapján 25 vörös óriás csillag esetén meghatározták a globális asztroszeizmológiai paramétere</w:t>
      </w:r>
      <w:r>
        <w:rPr>
          <w:rFonts w:ascii="Times New Roman" w:eastAsia="Times New Roman" w:hAnsi="Times New Roman" w:cs="Times New Roman"/>
          <w:sz w:val="24"/>
          <w:szCs w:val="24"/>
          <w:lang w:eastAsia="hu-HU"/>
        </w:rPr>
        <w:t>iket és fizikai paramétereiket.</w:t>
      </w:r>
    </w:p>
    <w:p w:rsidR="003E686B" w:rsidRPr="00330D3C" w:rsidRDefault="003E686B" w:rsidP="00C03F01">
      <w:pPr>
        <w:spacing w:before="60" w:after="6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Eredményeiket rendszeresen közölték a nemzetközi szakmai élet vezető folyóirataiban (Nature Astronomy, Monthly Notices of the Royal Astronomical Society, Astronomy and Astrophysics, Astrophysical Journal, Astronomical Journal, Experimental Astronomy, stb). Eredményeinkről a hazai ismeretterjesztő fórumokon is rendszeresen beszámoltak (csillagaszat.hu, Meteor, Fizikai szemle, csillagászati évkönyv). Részesei a magyar nyelvű szakirodalmi tevékenységnek: ennek formája egy készülő csillagászati alaptankönyv, szerzői könyvek és fordítások megjelentetése. A magyar szakmai életben aktívan részt vesznek, pályázatok bírálatával, zsűrizésével, PhD eljárások bizottsági tagjaként és bírálóiként. Szabó M. Gyula az MTA Csillagászati és Űrfizikai Bizottságnak tagja, a Vas megyei TIT elnöke; Kovács József az ELFT vas megyei elnökségi tagja, a Magyar Csillagás</w:t>
      </w:r>
      <w:r>
        <w:rPr>
          <w:rFonts w:ascii="Times New Roman" w:eastAsia="Times New Roman" w:hAnsi="Times New Roman" w:cs="Times New Roman"/>
          <w:sz w:val="24"/>
          <w:szCs w:val="24"/>
          <w:lang w:eastAsia="hu-HU"/>
        </w:rPr>
        <w:t>zati Egyesület elnökségi tagja.</w:t>
      </w:r>
    </w:p>
    <w:p w:rsidR="003E686B" w:rsidRPr="008563E8" w:rsidRDefault="003E686B" w:rsidP="00BA4AC9">
      <w:pPr>
        <w:spacing w:before="60" w:after="240" w:line="360" w:lineRule="exact"/>
        <w:jc w:val="both"/>
        <w:rPr>
          <w:rFonts w:ascii="Times New Roman" w:eastAsia="Times New Roman" w:hAnsi="Times New Roman" w:cs="Times New Roman"/>
          <w:sz w:val="24"/>
          <w:szCs w:val="24"/>
          <w:lang w:eastAsia="hu-HU"/>
        </w:rPr>
      </w:pPr>
      <w:r w:rsidRPr="00330D3C">
        <w:rPr>
          <w:rFonts w:ascii="Times New Roman" w:eastAsia="Times New Roman" w:hAnsi="Times New Roman" w:cs="Times New Roman"/>
          <w:sz w:val="24"/>
          <w:szCs w:val="24"/>
          <w:lang w:eastAsia="hu-HU"/>
        </w:rPr>
        <w:t>A kutatók csillagászati és fizika kurzusokat tartottak az ELTE levelező képzésében (asztrofizika 3. félév, csillagászati spektroszkópia, matematikai módszerek a fizikában, statisztikai módszerek a fizikában, atomfizika, magfizika, kvantumfizika, nagyenergiájú asztrofizika, űrkutatás története kurzusok).</w:t>
      </w:r>
    </w:p>
    <w:p w:rsidR="00582485" w:rsidRDefault="003E686B" w:rsidP="00252EE6">
      <w:pPr>
        <w:pStyle w:val="Cmsor2"/>
        <w:numPr>
          <w:ilvl w:val="2"/>
          <w:numId w:val="13"/>
        </w:numPr>
        <w:spacing w:line="240" w:lineRule="auto"/>
        <w:rPr>
          <w:rFonts w:eastAsiaTheme="minorHAnsi"/>
          <w:b/>
          <w:sz w:val="24"/>
          <w:szCs w:val="24"/>
        </w:rPr>
      </w:pPr>
      <w:r w:rsidRPr="00D4102D">
        <w:rPr>
          <w:rFonts w:eastAsiaTheme="minorHAnsi"/>
          <w:b/>
          <w:sz w:val="24"/>
          <w:szCs w:val="24"/>
        </w:rPr>
        <w:t xml:space="preserve">ELTE Tatai Geológus Kert – Természetvédelmi Terület és Szabadtéri Geológiai </w:t>
      </w:r>
    </w:p>
    <w:p w:rsidR="003E686B" w:rsidRPr="00D4102D" w:rsidRDefault="003E686B" w:rsidP="00252EE6">
      <w:pPr>
        <w:pStyle w:val="Cmsor2"/>
        <w:numPr>
          <w:ilvl w:val="0"/>
          <w:numId w:val="0"/>
        </w:numPr>
        <w:spacing w:line="240" w:lineRule="auto"/>
        <w:rPr>
          <w:b/>
          <w:sz w:val="24"/>
          <w:szCs w:val="24"/>
          <w:lang w:eastAsia="hu-HU"/>
        </w:rPr>
      </w:pPr>
      <w:r w:rsidRPr="00D4102D">
        <w:rPr>
          <w:rFonts w:eastAsiaTheme="minorHAnsi"/>
          <w:b/>
          <w:sz w:val="24"/>
          <w:szCs w:val="24"/>
        </w:rPr>
        <w:t>Muzeális Közgyűjtemény</w:t>
      </w:r>
    </w:p>
    <w:p w:rsidR="003E686B" w:rsidRPr="00D4102D" w:rsidRDefault="003E686B" w:rsidP="00C03F01">
      <w:pPr>
        <w:autoSpaceDE w:val="0"/>
        <w:autoSpaceDN w:val="0"/>
        <w:spacing w:before="60" w:after="60" w:line="360" w:lineRule="exact"/>
        <w:jc w:val="both"/>
        <w:rPr>
          <w:rFonts w:ascii="Times New Roman" w:hAnsi="Times New Roman" w:cs="Times New Roman"/>
          <w:sz w:val="24"/>
          <w:szCs w:val="24"/>
        </w:rPr>
      </w:pPr>
      <w:r w:rsidRPr="00D4102D">
        <w:rPr>
          <w:rFonts w:ascii="Times New Roman" w:hAnsi="Times New Roman" w:cs="Times New Roman"/>
          <w:sz w:val="24"/>
          <w:szCs w:val="24"/>
        </w:rPr>
        <w:t>A Geológus Kert feladata a tatai Kálvária-domb védett természeti (geológiai, régészeti, botanikai) értékeinek, környezet- és természetvédelmi módszertani kérdéseinek vizsgálata; a természeti és az épített környezet Tatán egyedülálló összefüggéseinek védelme és hasznosítása.</w:t>
      </w:r>
    </w:p>
    <w:p w:rsidR="00421266" w:rsidRDefault="003E686B" w:rsidP="00C03F01">
      <w:pPr>
        <w:autoSpaceDE w:val="0"/>
        <w:autoSpaceDN w:val="0"/>
        <w:spacing w:before="60" w:after="60" w:line="360" w:lineRule="exact"/>
        <w:jc w:val="both"/>
        <w:rPr>
          <w:rFonts w:ascii="Times New Roman" w:hAnsi="Times New Roman" w:cs="Times New Roman"/>
          <w:sz w:val="24"/>
          <w:szCs w:val="24"/>
        </w:rPr>
      </w:pPr>
      <w:r w:rsidRPr="00D4102D">
        <w:rPr>
          <w:rFonts w:ascii="Times New Roman" w:hAnsi="Times New Roman" w:cs="Times New Roman"/>
          <w:sz w:val="24"/>
          <w:szCs w:val="24"/>
        </w:rPr>
        <w:t xml:space="preserve">A hasznosítás a hazai felsőoktatási intézmények nagyobbrészt szakirányú képzésében történő részvétellel (helyszíni tanulmányutak), a közoktatás, ismeretterjesztés tanulmányi csoportjainak fogadásával és múzeumi vezető közreműködése útján történő oktatásával, illetve a Kert profiljának megfelelő szakmai rendezvényeken való szereplés útján valósult </w:t>
      </w:r>
      <w:r w:rsidRPr="00D4102D">
        <w:rPr>
          <w:rFonts w:ascii="Times New Roman" w:hAnsi="Times New Roman" w:cs="Times New Roman"/>
          <w:sz w:val="24"/>
          <w:szCs w:val="24"/>
        </w:rPr>
        <w:lastRenderedPageBreak/>
        <w:t xml:space="preserve">meg. 2020-ban a feladatokat a járványügyi helyzet miatt a szokásos (április 1-i) helyett május </w:t>
      </w:r>
      <w:r>
        <w:rPr>
          <w:rFonts w:ascii="Times New Roman" w:hAnsi="Times New Roman" w:cs="Times New Roman"/>
          <w:sz w:val="24"/>
          <w:szCs w:val="24"/>
        </w:rPr>
        <w:t xml:space="preserve">8-i nyitással, mintegy 25 hetes </w:t>
      </w:r>
      <w:r w:rsidRPr="00D4102D">
        <w:rPr>
          <w:rFonts w:ascii="Times New Roman" w:hAnsi="Times New Roman" w:cs="Times New Roman"/>
          <w:sz w:val="24"/>
          <w:szCs w:val="24"/>
        </w:rPr>
        <w:t>nyitva tartással tudtuk megoldani. A látogatók kulturált, esztétikusan kialakított környezetben és tanösvényeken szerezhettek ismereteket. 2020-ban a teljes látogatószám és a belépőjegy-bevétel, a rövidebb nyitva tartási időszak és nyilvánvalóan más, részben a járványhelyezettel összefüggő okok miatt (iskolai osztálykirándulások hiánya), elmaradt a 2019. évihez képest.</w:t>
      </w:r>
    </w:p>
    <w:p w:rsidR="003E686B" w:rsidRPr="00D4102D" w:rsidRDefault="003E686B" w:rsidP="00C03F01">
      <w:pPr>
        <w:autoSpaceDE w:val="0"/>
        <w:autoSpaceDN w:val="0"/>
        <w:spacing w:before="60" w:after="60" w:line="360" w:lineRule="exact"/>
        <w:jc w:val="both"/>
        <w:rPr>
          <w:rFonts w:ascii="Times New Roman" w:hAnsi="Times New Roman" w:cs="Times New Roman"/>
          <w:sz w:val="24"/>
          <w:szCs w:val="24"/>
        </w:rPr>
      </w:pPr>
      <w:r w:rsidRPr="00D4102D">
        <w:rPr>
          <w:rFonts w:ascii="Times New Roman" w:hAnsi="Times New Roman" w:cs="Times New Roman"/>
          <w:sz w:val="24"/>
          <w:szCs w:val="24"/>
        </w:rPr>
        <w:t xml:space="preserve">A </w:t>
      </w:r>
      <w:r w:rsidRPr="006D3F7B">
        <w:rPr>
          <w:rFonts w:ascii="Times New Roman" w:hAnsi="Times New Roman" w:cs="Times New Roman"/>
          <w:b/>
          <w:sz w:val="24"/>
          <w:szCs w:val="24"/>
        </w:rPr>
        <w:t>látogato</w:t>
      </w:r>
      <w:r w:rsidR="00582485" w:rsidRPr="006D3F7B">
        <w:rPr>
          <w:rFonts w:ascii="Times New Roman" w:hAnsi="Times New Roman" w:cs="Times New Roman"/>
          <w:b/>
          <w:sz w:val="24"/>
          <w:szCs w:val="24"/>
        </w:rPr>
        <w:t>ttság</w:t>
      </w:r>
      <w:r w:rsidR="00582485">
        <w:rPr>
          <w:rFonts w:ascii="Times New Roman" w:hAnsi="Times New Roman" w:cs="Times New Roman"/>
          <w:sz w:val="24"/>
          <w:szCs w:val="24"/>
        </w:rPr>
        <w:t xml:space="preserve"> 2020-as és korábbi adatai  (fő):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1417"/>
        <w:gridCol w:w="851"/>
        <w:gridCol w:w="1705"/>
        <w:gridCol w:w="1123"/>
        <w:gridCol w:w="1390"/>
      </w:tblGrid>
      <w:tr w:rsidR="00582485" w:rsidRPr="00291122" w:rsidTr="008563E8">
        <w:trPr>
          <w:cantSplit/>
          <w:trHeight w:hRule="exact" w:val="621"/>
          <w:jc w:val="center"/>
        </w:trPr>
        <w:tc>
          <w:tcPr>
            <w:tcW w:w="1951"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év</w:t>
            </w:r>
          </w:p>
        </w:tc>
        <w:tc>
          <w:tcPr>
            <w:tcW w:w="851"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ingye</w:t>
            </w:r>
            <w:r w:rsidR="006D3F7B">
              <w:rPr>
                <w:rFonts w:ascii="Times New Roman" w:hAnsi="Times New Roman" w:cs="Times New Roman"/>
                <w:b/>
                <w:sz w:val="20"/>
                <w:szCs w:val="20"/>
              </w:rPr>
              <w:t>-</w:t>
            </w:r>
            <w:r w:rsidRPr="00291122">
              <w:rPr>
                <w:rFonts w:ascii="Times New Roman" w:hAnsi="Times New Roman" w:cs="Times New Roman"/>
                <w:b/>
                <w:sz w:val="20"/>
                <w:szCs w:val="20"/>
              </w:rPr>
              <w:t>nes</w:t>
            </w:r>
          </w:p>
        </w:tc>
        <w:tc>
          <w:tcPr>
            <w:tcW w:w="1417" w:type="dxa"/>
            <w:shd w:val="clear" w:color="auto" w:fill="auto"/>
            <w:vAlign w:val="center"/>
          </w:tcPr>
          <w:p w:rsidR="003E686B" w:rsidRPr="00291122" w:rsidRDefault="006D3F7B" w:rsidP="008563E8">
            <w:pPr>
              <w:autoSpaceDE w:val="0"/>
              <w:autoSpaceDN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kedvez-ményes</w:t>
            </w:r>
          </w:p>
        </w:tc>
        <w:tc>
          <w:tcPr>
            <w:tcW w:w="851"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felnőtt</w:t>
            </w:r>
          </w:p>
        </w:tc>
        <w:tc>
          <w:tcPr>
            <w:tcW w:w="1705" w:type="dxa"/>
            <w:vAlign w:val="center"/>
          </w:tcPr>
          <w:p w:rsidR="003E686B" w:rsidRPr="00291122" w:rsidRDefault="00582485"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kedvezményes</w:t>
            </w:r>
            <w:r w:rsidR="003E686B" w:rsidRPr="00291122">
              <w:rPr>
                <w:rFonts w:ascii="Times New Roman" w:hAnsi="Times New Roman" w:cs="Times New Roman"/>
                <w:b/>
                <w:sz w:val="20"/>
                <w:szCs w:val="20"/>
              </w:rPr>
              <w:t xml:space="preserve"> kártyával</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 xml:space="preserve">teljes </w:t>
            </w:r>
            <w:r w:rsidR="006D3F7B">
              <w:rPr>
                <w:rFonts w:ascii="Times New Roman" w:hAnsi="Times New Roman" w:cs="Times New Roman"/>
                <w:b/>
                <w:sz w:val="20"/>
                <w:szCs w:val="20"/>
              </w:rPr>
              <w:t>árú</w:t>
            </w:r>
          </w:p>
        </w:tc>
        <w:tc>
          <w:tcPr>
            <w:tcW w:w="1390"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belépőjegy- bevétel</w:t>
            </w:r>
          </w:p>
        </w:tc>
      </w:tr>
      <w:tr w:rsidR="00582485" w:rsidRPr="00291122" w:rsidTr="008563E8">
        <w:trPr>
          <w:cantSplit/>
          <w:trHeight w:hRule="exact" w:val="270"/>
          <w:jc w:val="center"/>
        </w:trPr>
        <w:tc>
          <w:tcPr>
            <w:tcW w:w="19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2016</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369</w:t>
            </w:r>
          </w:p>
        </w:tc>
        <w:tc>
          <w:tcPr>
            <w:tcW w:w="1417"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1381</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172</w:t>
            </w:r>
          </w:p>
        </w:tc>
        <w:tc>
          <w:tcPr>
            <w:tcW w:w="1705" w:type="dxa"/>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n.a.</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1922</w:t>
            </w:r>
          </w:p>
        </w:tc>
        <w:tc>
          <w:tcPr>
            <w:tcW w:w="1390"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711.</w:t>
            </w:r>
            <w:r w:rsidR="003E686B" w:rsidRPr="00291122">
              <w:rPr>
                <w:rFonts w:ascii="Times New Roman" w:hAnsi="Times New Roman" w:cs="Times New Roman"/>
                <w:sz w:val="20"/>
                <w:szCs w:val="20"/>
              </w:rPr>
              <w:t>430</w:t>
            </w:r>
            <w:r w:rsidRPr="00291122">
              <w:rPr>
                <w:rFonts w:ascii="Times New Roman" w:hAnsi="Times New Roman" w:cs="Times New Roman"/>
                <w:sz w:val="20"/>
                <w:szCs w:val="20"/>
              </w:rPr>
              <w:t xml:space="preserve"> Ft</w:t>
            </w:r>
          </w:p>
        </w:tc>
      </w:tr>
      <w:tr w:rsidR="00582485" w:rsidRPr="00291122" w:rsidTr="008563E8">
        <w:trPr>
          <w:cantSplit/>
          <w:trHeight w:hRule="exact" w:val="248"/>
          <w:jc w:val="center"/>
        </w:trPr>
        <w:tc>
          <w:tcPr>
            <w:tcW w:w="19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2017</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259</w:t>
            </w:r>
          </w:p>
        </w:tc>
        <w:tc>
          <w:tcPr>
            <w:tcW w:w="1417"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1133</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138</w:t>
            </w:r>
          </w:p>
        </w:tc>
        <w:tc>
          <w:tcPr>
            <w:tcW w:w="1705" w:type="dxa"/>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32</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1640</w:t>
            </w:r>
          </w:p>
        </w:tc>
        <w:tc>
          <w:tcPr>
            <w:tcW w:w="1390" w:type="dxa"/>
            <w:shd w:val="clear" w:color="auto" w:fill="auto"/>
            <w:vAlign w:val="center"/>
          </w:tcPr>
          <w:p w:rsidR="003E686B" w:rsidRPr="00291122" w:rsidRDefault="00582485"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536.</w:t>
            </w:r>
            <w:r w:rsidR="003E686B" w:rsidRPr="00291122">
              <w:rPr>
                <w:rFonts w:ascii="Times New Roman" w:hAnsi="Times New Roman" w:cs="Times New Roman"/>
                <w:sz w:val="20"/>
                <w:szCs w:val="20"/>
              </w:rPr>
              <w:t>570</w:t>
            </w:r>
            <w:r w:rsidRPr="00291122">
              <w:rPr>
                <w:rFonts w:ascii="Times New Roman" w:hAnsi="Times New Roman" w:cs="Times New Roman"/>
                <w:sz w:val="20"/>
                <w:szCs w:val="20"/>
              </w:rPr>
              <w:t xml:space="preserve"> Ft</w:t>
            </w:r>
          </w:p>
        </w:tc>
      </w:tr>
      <w:tr w:rsidR="00582485" w:rsidRPr="00291122" w:rsidTr="008563E8">
        <w:trPr>
          <w:cantSplit/>
          <w:trHeight w:hRule="exact" w:val="212"/>
          <w:jc w:val="center"/>
        </w:trPr>
        <w:tc>
          <w:tcPr>
            <w:tcW w:w="19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2018</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285</w:t>
            </w:r>
          </w:p>
        </w:tc>
        <w:tc>
          <w:tcPr>
            <w:tcW w:w="1417"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1253</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222</w:t>
            </w:r>
          </w:p>
        </w:tc>
        <w:tc>
          <w:tcPr>
            <w:tcW w:w="1705" w:type="dxa"/>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20</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1780</w:t>
            </w:r>
          </w:p>
        </w:tc>
        <w:tc>
          <w:tcPr>
            <w:tcW w:w="1390"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748</w:t>
            </w:r>
            <w:r w:rsidR="00582485" w:rsidRPr="00291122">
              <w:rPr>
                <w:rFonts w:ascii="Times New Roman" w:hAnsi="Times New Roman" w:cs="Times New Roman"/>
                <w:sz w:val="20"/>
                <w:szCs w:val="20"/>
              </w:rPr>
              <w:t>.</w:t>
            </w:r>
            <w:r w:rsidRPr="00291122">
              <w:rPr>
                <w:rFonts w:ascii="Times New Roman" w:hAnsi="Times New Roman" w:cs="Times New Roman"/>
                <w:sz w:val="20"/>
                <w:szCs w:val="20"/>
              </w:rPr>
              <w:t>830</w:t>
            </w:r>
            <w:r w:rsidR="00582485" w:rsidRPr="00291122">
              <w:rPr>
                <w:rFonts w:ascii="Times New Roman" w:hAnsi="Times New Roman" w:cs="Times New Roman"/>
                <w:sz w:val="20"/>
                <w:szCs w:val="20"/>
              </w:rPr>
              <w:t xml:space="preserve"> Ft</w:t>
            </w:r>
          </w:p>
        </w:tc>
      </w:tr>
      <w:tr w:rsidR="00582485" w:rsidRPr="00291122" w:rsidTr="008563E8">
        <w:trPr>
          <w:cantSplit/>
          <w:trHeight w:hRule="exact" w:val="225"/>
          <w:jc w:val="center"/>
        </w:trPr>
        <w:tc>
          <w:tcPr>
            <w:tcW w:w="19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2019</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192</w:t>
            </w:r>
          </w:p>
        </w:tc>
        <w:tc>
          <w:tcPr>
            <w:tcW w:w="1417"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1188</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271</w:t>
            </w:r>
          </w:p>
        </w:tc>
        <w:tc>
          <w:tcPr>
            <w:tcW w:w="1705" w:type="dxa"/>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15</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1666</w:t>
            </w:r>
          </w:p>
        </w:tc>
        <w:tc>
          <w:tcPr>
            <w:tcW w:w="1390"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sz w:val="20"/>
                <w:szCs w:val="20"/>
              </w:rPr>
            </w:pPr>
            <w:r w:rsidRPr="00291122">
              <w:rPr>
                <w:rFonts w:ascii="Times New Roman" w:hAnsi="Times New Roman" w:cs="Times New Roman"/>
                <w:sz w:val="20"/>
                <w:szCs w:val="20"/>
              </w:rPr>
              <w:t>656</w:t>
            </w:r>
            <w:r w:rsidR="00582485" w:rsidRPr="00291122">
              <w:rPr>
                <w:rFonts w:ascii="Times New Roman" w:hAnsi="Times New Roman" w:cs="Times New Roman"/>
                <w:sz w:val="20"/>
                <w:szCs w:val="20"/>
              </w:rPr>
              <w:t>.</w:t>
            </w:r>
            <w:r w:rsidRPr="00291122">
              <w:rPr>
                <w:rFonts w:ascii="Times New Roman" w:hAnsi="Times New Roman" w:cs="Times New Roman"/>
                <w:sz w:val="20"/>
                <w:szCs w:val="20"/>
              </w:rPr>
              <w:t>420</w:t>
            </w:r>
            <w:r w:rsidR="00582485" w:rsidRPr="00291122">
              <w:rPr>
                <w:rFonts w:ascii="Times New Roman" w:hAnsi="Times New Roman" w:cs="Times New Roman"/>
                <w:sz w:val="20"/>
                <w:szCs w:val="20"/>
              </w:rPr>
              <w:t xml:space="preserve"> Ft</w:t>
            </w:r>
          </w:p>
        </w:tc>
      </w:tr>
      <w:tr w:rsidR="00582485" w:rsidRPr="00291122" w:rsidTr="008563E8">
        <w:trPr>
          <w:cantSplit/>
          <w:trHeight w:hRule="exact" w:val="342"/>
          <w:jc w:val="center"/>
        </w:trPr>
        <w:tc>
          <w:tcPr>
            <w:tcW w:w="19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2020</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32</w:t>
            </w:r>
          </w:p>
        </w:tc>
        <w:tc>
          <w:tcPr>
            <w:tcW w:w="1417"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666</w:t>
            </w:r>
          </w:p>
        </w:tc>
        <w:tc>
          <w:tcPr>
            <w:tcW w:w="851"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251</w:t>
            </w:r>
          </w:p>
        </w:tc>
        <w:tc>
          <w:tcPr>
            <w:tcW w:w="1705" w:type="dxa"/>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10</w:t>
            </w:r>
          </w:p>
        </w:tc>
        <w:tc>
          <w:tcPr>
            <w:tcW w:w="1123"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959</w:t>
            </w:r>
          </w:p>
        </w:tc>
        <w:tc>
          <w:tcPr>
            <w:tcW w:w="1390" w:type="dxa"/>
            <w:shd w:val="clear" w:color="auto" w:fill="auto"/>
            <w:vAlign w:val="center"/>
          </w:tcPr>
          <w:p w:rsidR="003E686B" w:rsidRPr="00291122" w:rsidRDefault="003E686B" w:rsidP="008563E8">
            <w:pPr>
              <w:autoSpaceDE w:val="0"/>
              <w:autoSpaceDN w:val="0"/>
              <w:spacing w:after="0" w:line="240" w:lineRule="auto"/>
              <w:jc w:val="center"/>
              <w:rPr>
                <w:rFonts w:ascii="Times New Roman" w:hAnsi="Times New Roman" w:cs="Times New Roman"/>
                <w:b/>
                <w:sz w:val="20"/>
                <w:szCs w:val="20"/>
              </w:rPr>
            </w:pPr>
            <w:r w:rsidRPr="00291122">
              <w:rPr>
                <w:rFonts w:ascii="Times New Roman" w:hAnsi="Times New Roman" w:cs="Times New Roman"/>
                <w:b/>
                <w:sz w:val="20"/>
                <w:szCs w:val="20"/>
              </w:rPr>
              <w:t>419</w:t>
            </w:r>
            <w:r w:rsidR="00582485" w:rsidRPr="00291122">
              <w:rPr>
                <w:rFonts w:ascii="Times New Roman" w:hAnsi="Times New Roman" w:cs="Times New Roman"/>
                <w:b/>
                <w:sz w:val="20"/>
                <w:szCs w:val="20"/>
              </w:rPr>
              <w:t>.</w:t>
            </w:r>
            <w:r w:rsidRPr="00291122">
              <w:rPr>
                <w:rFonts w:ascii="Times New Roman" w:hAnsi="Times New Roman" w:cs="Times New Roman"/>
                <w:b/>
                <w:sz w:val="20"/>
                <w:szCs w:val="20"/>
              </w:rPr>
              <w:t>220</w:t>
            </w:r>
            <w:r w:rsidR="00582485" w:rsidRPr="00291122">
              <w:rPr>
                <w:rFonts w:ascii="Times New Roman" w:hAnsi="Times New Roman" w:cs="Times New Roman"/>
                <w:b/>
                <w:sz w:val="20"/>
                <w:szCs w:val="20"/>
              </w:rPr>
              <w:t xml:space="preserve"> Ft</w:t>
            </w:r>
          </w:p>
        </w:tc>
      </w:tr>
    </w:tbl>
    <w:p w:rsidR="00845151" w:rsidRPr="00845151" w:rsidRDefault="003E686B" w:rsidP="00BA4AC9">
      <w:pPr>
        <w:spacing w:before="60" w:after="240" w:line="360" w:lineRule="exact"/>
        <w:jc w:val="both"/>
        <w:rPr>
          <w:rFonts w:ascii="Times New Roman" w:hAnsi="Times New Roman" w:cs="Times New Roman"/>
          <w:sz w:val="24"/>
          <w:szCs w:val="24"/>
        </w:rPr>
      </w:pPr>
      <w:r>
        <w:rPr>
          <w:rFonts w:ascii="Times New Roman" w:hAnsi="Times New Roman" w:cs="Times New Roman"/>
          <w:sz w:val="24"/>
          <w:szCs w:val="24"/>
        </w:rPr>
        <w:t>A</w:t>
      </w:r>
      <w:r w:rsidRPr="00D4102D">
        <w:rPr>
          <w:rFonts w:ascii="Times New Roman" w:hAnsi="Times New Roman" w:cs="Times New Roman"/>
          <w:sz w:val="24"/>
          <w:szCs w:val="24"/>
        </w:rPr>
        <w:t xml:space="preserve">z önkéntes munkatársak köre jövőbeni bővítésének a szándékával a </w:t>
      </w:r>
      <w:r>
        <w:rPr>
          <w:rFonts w:ascii="Times New Roman" w:hAnsi="Times New Roman" w:cs="Times New Roman"/>
          <w:sz w:val="24"/>
          <w:szCs w:val="24"/>
        </w:rPr>
        <w:t xml:space="preserve">Geológus </w:t>
      </w:r>
      <w:r w:rsidRPr="00D4102D">
        <w:rPr>
          <w:rFonts w:ascii="Times New Roman" w:hAnsi="Times New Roman" w:cs="Times New Roman"/>
          <w:sz w:val="24"/>
          <w:szCs w:val="24"/>
        </w:rPr>
        <w:t xml:space="preserve">Kert 2020-ban a 2005. évi LXXXVIII., </w:t>
      </w:r>
      <w:r w:rsidRPr="00A2775A">
        <w:rPr>
          <w:rFonts w:ascii="Times New Roman" w:hAnsi="Times New Roman" w:cs="Times New Roman"/>
          <w:i/>
          <w:sz w:val="24"/>
          <w:szCs w:val="24"/>
        </w:rPr>
        <w:t>a közérdekű önkéntes tevékenységről szóló törvény</w:t>
      </w:r>
      <w:r w:rsidRPr="00D4102D">
        <w:rPr>
          <w:rFonts w:ascii="Times New Roman" w:hAnsi="Times New Roman" w:cs="Times New Roman"/>
          <w:sz w:val="24"/>
          <w:szCs w:val="24"/>
        </w:rPr>
        <w:t xml:space="preserve"> előírásainak megfelelő intézményként</w:t>
      </w:r>
      <w:hyperlink r:id="rId12" w:anchor="lbj0id2ccb" w:history="1">
        <w:r w:rsidRPr="00D4102D">
          <w:rPr>
            <w:rFonts w:ascii="Times New Roman" w:hAnsi="Times New Roman" w:cs="Times New Roman"/>
            <w:sz w:val="24"/>
            <w:szCs w:val="24"/>
          </w:rPr>
          <w:t> </w:t>
        </w:r>
      </w:hyperlink>
      <w:r w:rsidRPr="00D4102D">
        <w:rPr>
          <w:rFonts w:ascii="Times New Roman" w:hAnsi="Times New Roman" w:cs="Times New Roman"/>
          <w:sz w:val="24"/>
          <w:szCs w:val="24"/>
        </w:rPr>
        <w:t xml:space="preserve"> regisztráltatta magát.</w:t>
      </w:r>
      <w:r>
        <w:rPr>
          <w:rFonts w:ascii="Times New Roman" w:hAnsi="Times New Roman" w:cs="Times New Roman"/>
          <w:sz w:val="24"/>
          <w:szCs w:val="24"/>
        </w:rPr>
        <w:t xml:space="preserve"> E</w:t>
      </w:r>
      <w:r w:rsidRPr="00D4102D">
        <w:rPr>
          <w:rFonts w:ascii="Times New Roman" w:hAnsi="Times New Roman" w:cs="Times New Roman"/>
          <w:sz w:val="24"/>
          <w:szCs w:val="24"/>
        </w:rPr>
        <w:t>gyüttműködő félként tavaly</w:t>
      </w:r>
      <w:r>
        <w:rPr>
          <w:rFonts w:ascii="Times New Roman" w:hAnsi="Times New Roman" w:cs="Times New Roman"/>
          <w:sz w:val="24"/>
          <w:szCs w:val="24"/>
        </w:rPr>
        <w:t xml:space="preserve"> is </w:t>
      </w:r>
      <w:r w:rsidRPr="00D4102D">
        <w:rPr>
          <w:rFonts w:ascii="Times New Roman" w:hAnsi="Times New Roman" w:cs="Times New Roman"/>
          <w:sz w:val="24"/>
          <w:szCs w:val="24"/>
        </w:rPr>
        <w:t>részt vett</w:t>
      </w:r>
      <w:r>
        <w:rPr>
          <w:rFonts w:ascii="Times New Roman" w:hAnsi="Times New Roman" w:cs="Times New Roman"/>
          <w:sz w:val="24"/>
          <w:szCs w:val="24"/>
        </w:rPr>
        <w:t xml:space="preserve"> </w:t>
      </w:r>
      <w:r w:rsidRPr="00D4102D">
        <w:rPr>
          <w:rFonts w:ascii="Times New Roman" w:hAnsi="Times New Roman" w:cs="Times New Roman"/>
          <w:sz w:val="24"/>
          <w:szCs w:val="24"/>
        </w:rPr>
        <w:t>a Magyar Nemzeti Múzeum, mint munkáltató</w:t>
      </w:r>
      <w:r>
        <w:rPr>
          <w:rFonts w:ascii="Times New Roman" w:hAnsi="Times New Roman" w:cs="Times New Roman"/>
          <w:sz w:val="24"/>
          <w:szCs w:val="24"/>
        </w:rPr>
        <w:t xml:space="preserve"> által koordinált </w:t>
      </w:r>
      <w:r w:rsidRPr="00D4102D">
        <w:rPr>
          <w:rFonts w:ascii="Times New Roman" w:hAnsi="Times New Roman" w:cs="Times New Roman"/>
          <w:sz w:val="24"/>
          <w:szCs w:val="24"/>
        </w:rPr>
        <w:t>Közfoglalkoztatási Programban</w:t>
      </w:r>
      <w:r>
        <w:rPr>
          <w:rFonts w:ascii="Times New Roman" w:hAnsi="Times New Roman" w:cs="Times New Roman"/>
          <w:sz w:val="24"/>
          <w:szCs w:val="24"/>
        </w:rPr>
        <w:t>, amelynek keretében három, a Tata városával ápolt jó viszonynak köszönhetően pedig további egy közfoglalkoztatott munkatárs segítette a Kert tevékenységét</w:t>
      </w:r>
      <w:r w:rsidRPr="00D4102D">
        <w:rPr>
          <w:rFonts w:ascii="Times New Roman" w:hAnsi="Times New Roman" w:cs="Times New Roman"/>
          <w:sz w:val="24"/>
          <w:szCs w:val="24"/>
        </w:rPr>
        <w:t>.</w:t>
      </w:r>
    </w:p>
    <w:p w:rsidR="00AD662F" w:rsidRPr="00845151" w:rsidRDefault="003E686B" w:rsidP="00C03F01">
      <w:pPr>
        <w:keepNext/>
        <w:keepLines/>
        <w:spacing w:before="60" w:after="60" w:line="360" w:lineRule="exact"/>
        <w:jc w:val="both"/>
        <w:outlineLvl w:val="1"/>
        <w:rPr>
          <w:rFonts w:ascii="Times New Roman" w:hAnsi="Times New Roman" w:cs="Times New Roman"/>
          <w:b/>
          <w:sz w:val="24"/>
          <w:szCs w:val="24"/>
        </w:rPr>
      </w:pPr>
      <w:r>
        <w:rPr>
          <w:rFonts w:ascii="Times New Roman" w:hAnsi="Times New Roman" w:cs="Times New Roman"/>
          <w:b/>
          <w:sz w:val="24"/>
          <w:szCs w:val="24"/>
        </w:rPr>
        <w:t xml:space="preserve">I.5.4. </w:t>
      </w:r>
      <w:r w:rsidR="00845151">
        <w:rPr>
          <w:rFonts w:ascii="Times New Roman" w:hAnsi="Times New Roman" w:cs="Times New Roman"/>
          <w:b/>
          <w:sz w:val="24"/>
          <w:szCs w:val="24"/>
        </w:rPr>
        <w:t>Szakkollégiumok</w:t>
      </w:r>
    </w:p>
    <w:p w:rsidR="003E686B" w:rsidRPr="007F6C59" w:rsidRDefault="003E686B" w:rsidP="00C03F01">
      <w:pPr>
        <w:spacing w:before="60" w:after="60" w:line="360" w:lineRule="exact"/>
        <w:jc w:val="both"/>
        <w:rPr>
          <w:rFonts w:ascii="Times New Roman" w:hAnsi="Times New Roman" w:cs="Times New Roman"/>
          <w:bCs/>
          <w:sz w:val="24"/>
          <w:szCs w:val="24"/>
        </w:rPr>
      </w:pPr>
      <w:r w:rsidRPr="007F6C59">
        <w:rPr>
          <w:rFonts w:ascii="Times New Roman" w:hAnsi="Times New Roman" w:cs="Times New Roman"/>
          <w:bCs/>
          <w:sz w:val="24"/>
          <w:szCs w:val="24"/>
        </w:rPr>
        <w:t>Az egyetem kiemelkedő hallgatóinak tehetséggondozását az ELTE évszázados hagyományokkal rendelkező szakkollégiumi hálózata segíti. Az ELTE hat szakkollégiuma kiemelkedő képességű hallgatók önkormányzati elven működő oktatási és kutatási műhelye.</w:t>
      </w:r>
    </w:p>
    <w:p w:rsidR="003E686B" w:rsidRPr="007F6C59" w:rsidRDefault="003E686B" w:rsidP="00C03F01">
      <w:pPr>
        <w:spacing w:before="60" w:after="60" w:line="360" w:lineRule="exact"/>
        <w:jc w:val="both"/>
        <w:rPr>
          <w:rFonts w:ascii="Times New Roman" w:hAnsi="Times New Roman" w:cs="Times New Roman"/>
          <w:bCs/>
          <w:sz w:val="24"/>
          <w:szCs w:val="24"/>
        </w:rPr>
      </w:pPr>
      <w:r w:rsidRPr="007F6C59">
        <w:rPr>
          <w:rFonts w:ascii="Times New Roman" w:hAnsi="Times New Roman" w:cs="Times New Roman"/>
          <w:bCs/>
          <w:sz w:val="24"/>
          <w:szCs w:val="24"/>
        </w:rPr>
        <w:t>A leghosszabb múltra a négy egyetemi kar (BTK, TTK, IK, TáTK) hallgatóit fogadó, Eötvös Loránd által 1895-ben alapított Eötvös József Collegium tekinthet vissza, amely 2014 óta történelmi emlékhely. A Bibó István Szakkollégiumot 1983-ban hozták létre joghallgatók az angol college-rendszer mintájára. Az 1992-ben alapított Bolyai Kollégium az ELTE természettudományos és informatikai tehetséggondozó szakkollégiuma. A 2004-ben alapított Angelusz Róbert Társadalomtudományi Szakkollégium segítségével a tagok felkészült, művelt, tájékozott, széles látókörű társadalomtudományi szakemberekké válhatnak, a pszichológia, a nevelés- és egészségtudományok iránt érdeklődő hallgatókat pedig az Illyés Sándor Szakkollégium várja 2007 óta. A külhoni magyar fiatalok magyarországi felsőoktatási tanulmányainak támogatásában nagy hagyományokra visszatekintő Márton Áron Szakkollégium 2016 óta működik az ELTE részeként.</w:t>
      </w:r>
    </w:p>
    <w:p w:rsidR="00BA4AC9" w:rsidRDefault="00BA4AC9">
      <w:pPr>
        <w:rPr>
          <w:rFonts w:ascii="Times New Roman" w:hAnsi="Times New Roman" w:cs="Times New Roman"/>
          <w:bCs/>
          <w:sz w:val="24"/>
          <w:szCs w:val="24"/>
        </w:rPr>
      </w:pPr>
      <w:r>
        <w:rPr>
          <w:rFonts w:ascii="Times New Roman" w:hAnsi="Times New Roman" w:cs="Times New Roman"/>
          <w:bCs/>
          <w:sz w:val="24"/>
          <w:szCs w:val="24"/>
        </w:rPr>
        <w:br w:type="page"/>
      </w:r>
    </w:p>
    <w:p w:rsidR="003E686B" w:rsidRPr="007F6C59" w:rsidRDefault="003E686B" w:rsidP="00C03F01">
      <w:pPr>
        <w:spacing w:before="60" w:after="60" w:line="360" w:lineRule="exact"/>
        <w:jc w:val="both"/>
        <w:rPr>
          <w:rFonts w:ascii="Times New Roman" w:hAnsi="Times New Roman" w:cs="Times New Roman"/>
          <w:bCs/>
          <w:sz w:val="24"/>
          <w:szCs w:val="24"/>
        </w:rPr>
      </w:pPr>
      <w:r w:rsidRPr="007F6C59">
        <w:rPr>
          <w:rFonts w:ascii="Times New Roman" w:hAnsi="Times New Roman" w:cs="Times New Roman"/>
          <w:bCs/>
          <w:sz w:val="24"/>
          <w:szCs w:val="24"/>
        </w:rPr>
        <w:lastRenderedPageBreak/>
        <w:t xml:space="preserve">Aktív hallgatói jogviszonnyal rendelkező </w:t>
      </w:r>
      <w:r w:rsidRPr="006D3F7B">
        <w:rPr>
          <w:rFonts w:ascii="Times New Roman" w:hAnsi="Times New Roman" w:cs="Times New Roman"/>
          <w:b/>
          <w:bCs/>
          <w:sz w:val="24"/>
          <w:szCs w:val="24"/>
        </w:rPr>
        <w:t>szakkollégisták</w:t>
      </w:r>
      <w:r w:rsidRPr="007F6C59">
        <w:rPr>
          <w:rFonts w:ascii="Times New Roman" w:hAnsi="Times New Roman" w:cs="Times New Roman"/>
          <w:bCs/>
          <w:sz w:val="24"/>
          <w:szCs w:val="24"/>
        </w:rPr>
        <w:t xml:space="preserve"> száma éves bontásban:</w:t>
      </w:r>
    </w:p>
    <w:tbl>
      <w:tblPr>
        <w:tblW w:w="5000" w:type="pct"/>
        <w:jc w:val="center"/>
        <w:tblCellMar>
          <w:left w:w="70" w:type="dxa"/>
          <w:right w:w="70" w:type="dxa"/>
        </w:tblCellMar>
        <w:tblLook w:val="04A0" w:firstRow="1" w:lastRow="0" w:firstColumn="1" w:lastColumn="0" w:noHBand="0" w:noVBand="1"/>
      </w:tblPr>
      <w:tblGrid>
        <w:gridCol w:w="2224"/>
        <w:gridCol w:w="1271"/>
        <w:gridCol w:w="1111"/>
        <w:gridCol w:w="1113"/>
        <w:gridCol w:w="1111"/>
        <w:gridCol w:w="1111"/>
        <w:gridCol w:w="1271"/>
      </w:tblGrid>
      <w:tr w:rsidR="006A7210" w:rsidRPr="006A7210" w:rsidTr="008563E8">
        <w:trPr>
          <w:trHeight w:hRule="exact" w:val="371"/>
          <w:jc w:val="center"/>
        </w:trPr>
        <w:tc>
          <w:tcPr>
            <w:tcW w:w="12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690"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ARTSZ</w:t>
            </w:r>
          </w:p>
        </w:tc>
        <w:tc>
          <w:tcPr>
            <w:tcW w:w="603"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BISZK</w:t>
            </w:r>
          </w:p>
        </w:tc>
        <w:tc>
          <w:tcPr>
            <w:tcW w:w="604"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BK</w:t>
            </w:r>
          </w:p>
        </w:tc>
        <w:tc>
          <w:tcPr>
            <w:tcW w:w="603"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EJC</w:t>
            </w:r>
          </w:p>
        </w:tc>
        <w:tc>
          <w:tcPr>
            <w:tcW w:w="603"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ISSZK</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MÁSZ</w:t>
            </w:r>
          </w:p>
        </w:tc>
      </w:tr>
      <w:tr w:rsidR="003E686B" w:rsidRPr="006A7210" w:rsidTr="008563E8">
        <w:trPr>
          <w:trHeight w:hRule="exact" w:val="278"/>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3793" w:type="pct"/>
            <w:gridSpan w:val="6"/>
            <w:tcBorders>
              <w:top w:val="single" w:sz="4" w:space="0" w:color="auto"/>
              <w:left w:val="nil"/>
              <w:bottom w:val="single" w:sz="4" w:space="0" w:color="auto"/>
              <w:right w:val="single" w:sz="4" w:space="0" w:color="000000"/>
            </w:tcBorders>
            <w:shd w:val="clear" w:color="000000" w:fill="CCCCFF"/>
            <w:noWrap/>
            <w:vAlign w:val="bottom"/>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2016/2017</w:t>
            </w:r>
          </w:p>
        </w:tc>
      </w:tr>
      <w:tr w:rsidR="006A7210" w:rsidRPr="006A7210" w:rsidTr="008563E8">
        <w:trPr>
          <w:trHeight w:hRule="exact" w:val="269"/>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Bentlakó</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27</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51</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65</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117</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36</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86"/>
          <w:jc w:val="center"/>
        </w:trPr>
        <w:tc>
          <w:tcPr>
            <w:tcW w:w="1207" w:type="pct"/>
            <w:tcBorders>
              <w:top w:val="nil"/>
              <w:left w:val="single" w:sz="4" w:space="0" w:color="auto"/>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Bejáró</w:t>
            </w:r>
          </w:p>
        </w:tc>
        <w:tc>
          <w:tcPr>
            <w:tcW w:w="690"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44</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33</w:t>
            </w:r>
          </w:p>
        </w:tc>
        <w:tc>
          <w:tcPr>
            <w:tcW w:w="604"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25</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141</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22</w:t>
            </w:r>
          </w:p>
        </w:tc>
        <w:tc>
          <w:tcPr>
            <w:tcW w:w="689"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52"/>
          <w:jc w:val="center"/>
        </w:trPr>
        <w:tc>
          <w:tcPr>
            <w:tcW w:w="1207" w:type="pct"/>
            <w:tcBorders>
              <w:top w:val="nil"/>
              <w:left w:val="single" w:sz="4" w:space="0" w:color="auto"/>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Összesen</w:t>
            </w:r>
          </w:p>
        </w:tc>
        <w:tc>
          <w:tcPr>
            <w:tcW w:w="690"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71</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84</w:t>
            </w:r>
          </w:p>
        </w:tc>
        <w:tc>
          <w:tcPr>
            <w:tcW w:w="604"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90</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258</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58</w:t>
            </w:r>
          </w:p>
        </w:tc>
        <w:tc>
          <w:tcPr>
            <w:tcW w:w="689"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0</w:t>
            </w:r>
          </w:p>
        </w:tc>
      </w:tr>
      <w:tr w:rsidR="003E686B" w:rsidRPr="006A7210" w:rsidTr="008563E8">
        <w:trPr>
          <w:trHeight w:hRule="exact" w:val="308"/>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3793" w:type="pct"/>
            <w:gridSpan w:val="6"/>
            <w:tcBorders>
              <w:top w:val="single" w:sz="4" w:space="0" w:color="auto"/>
              <w:left w:val="nil"/>
              <w:bottom w:val="single" w:sz="4" w:space="0" w:color="auto"/>
              <w:right w:val="single" w:sz="4" w:space="0" w:color="000000"/>
            </w:tcBorders>
            <w:shd w:val="clear" w:color="000000" w:fill="CCCCFF"/>
            <w:noWrap/>
            <w:vAlign w:val="bottom"/>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2017/2018</w:t>
            </w:r>
          </w:p>
        </w:tc>
      </w:tr>
      <w:tr w:rsidR="006A7210" w:rsidRPr="006A7210" w:rsidTr="008563E8">
        <w:trPr>
          <w:trHeight w:hRule="exact" w:val="284"/>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xml:space="preserve">Bentlakó </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21</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54</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65</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141</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30</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74"/>
          <w:jc w:val="center"/>
        </w:trPr>
        <w:tc>
          <w:tcPr>
            <w:tcW w:w="1207" w:type="pct"/>
            <w:tcBorders>
              <w:top w:val="nil"/>
              <w:left w:val="single" w:sz="4" w:space="0" w:color="auto"/>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Bejáró</w:t>
            </w:r>
          </w:p>
        </w:tc>
        <w:tc>
          <w:tcPr>
            <w:tcW w:w="690"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45</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23</w:t>
            </w:r>
          </w:p>
        </w:tc>
        <w:tc>
          <w:tcPr>
            <w:tcW w:w="604"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25</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126</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16</w:t>
            </w:r>
          </w:p>
        </w:tc>
        <w:tc>
          <w:tcPr>
            <w:tcW w:w="689"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100</w:t>
            </w:r>
          </w:p>
        </w:tc>
      </w:tr>
      <w:tr w:rsidR="006A7210" w:rsidRPr="006A7210" w:rsidTr="008563E8">
        <w:trPr>
          <w:trHeight w:hRule="exact" w:val="303"/>
          <w:jc w:val="center"/>
        </w:trPr>
        <w:tc>
          <w:tcPr>
            <w:tcW w:w="1207" w:type="pct"/>
            <w:tcBorders>
              <w:top w:val="nil"/>
              <w:left w:val="single" w:sz="4" w:space="0" w:color="auto"/>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Összesen</w:t>
            </w:r>
          </w:p>
        </w:tc>
        <w:tc>
          <w:tcPr>
            <w:tcW w:w="690"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66</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77</w:t>
            </w:r>
          </w:p>
        </w:tc>
        <w:tc>
          <w:tcPr>
            <w:tcW w:w="604"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90</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267</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46</w:t>
            </w:r>
          </w:p>
        </w:tc>
        <w:tc>
          <w:tcPr>
            <w:tcW w:w="689"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100</w:t>
            </w:r>
          </w:p>
        </w:tc>
      </w:tr>
      <w:tr w:rsidR="003E686B" w:rsidRPr="006A7210" w:rsidTr="008563E8">
        <w:trPr>
          <w:trHeight w:hRule="exact" w:val="282"/>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3793" w:type="pct"/>
            <w:gridSpan w:val="6"/>
            <w:tcBorders>
              <w:top w:val="single" w:sz="4" w:space="0" w:color="auto"/>
              <w:left w:val="nil"/>
              <w:bottom w:val="single" w:sz="4" w:space="0" w:color="auto"/>
              <w:right w:val="single" w:sz="4" w:space="0" w:color="000000"/>
            </w:tcBorders>
            <w:shd w:val="clear" w:color="000000" w:fill="CCCCFF"/>
            <w:noWrap/>
            <w:vAlign w:val="bottom"/>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2018/2019</w:t>
            </w:r>
          </w:p>
        </w:tc>
      </w:tr>
      <w:tr w:rsidR="006A7210" w:rsidRPr="006A7210" w:rsidTr="008563E8">
        <w:trPr>
          <w:trHeight w:hRule="exact" w:val="273"/>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Bentlakó</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24</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39</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67</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140</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37</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90"/>
          <w:jc w:val="center"/>
        </w:trPr>
        <w:tc>
          <w:tcPr>
            <w:tcW w:w="1207" w:type="pct"/>
            <w:tcBorders>
              <w:top w:val="nil"/>
              <w:left w:val="single" w:sz="4" w:space="0" w:color="auto"/>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Bejáró</w:t>
            </w:r>
          </w:p>
        </w:tc>
        <w:tc>
          <w:tcPr>
            <w:tcW w:w="690"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29</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38</w:t>
            </w:r>
          </w:p>
        </w:tc>
        <w:tc>
          <w:tcPr>
            <w:tcW w:w="604"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25</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142</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14</w:t>
            </w:r>
          </w:p>
        </w:tc>
        <w:tc>
          <w:tcPr>
            <w:tcW w:w="689"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100</w:t>
            </w:r>
          </w:p>
        </w:tc>
      </w:tr>
      <w:tr w:rsidR="006A7210" w:rsidRPr="006A7210" w:rsidTr="008563E8">
        <w:trPr>
          <w:trHeight w:hRule="exact" w:val="276"/>
          <w:jc w:val="center"/>
        </w:trPr>
        <w:tc>
          <w:tcPr>
            <w:tcW w:w="1207" w:type="pct"/>
            <w:tcBorders>
              <w:top w:val="nil"/>
              <w:left w:val="single" w:sz="4" w:space="0" w:color="auto"/>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Összesen</w:t>
            </w:r>
          </w:p>
        </w:tc>
        <w:tc>
          <w:tcPr>
            <w:tcW w:w="690"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53</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77</w:t>
            </w:r>
          </w:p>
        </w:tc>
        <w:tc>
          <w:tcPr>
            <w:tcW w:w="604"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92</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282</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51</w:t>
            </w:r>
          </w:p>
        </w:tc>
        <w:tc>
          <w:tcPr>
            <w:tcW w:w="689"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100</w:t>
            </w:r>
          </w:p>
        </w:tc>
      </w:tr>
      <w:tr w:rsidR="003E686B" w:rsidRPr="006A7210" w:rsidTr="008563E8">
        <w:trPr>
          <w:trHeight w:hRule="exact" w:val="284"/>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3793" w:type="pct"/>
            <w:gridSpan w:val="6"/>
            <w:tcBorders>
              <w:top w:val="single" w:sz="4" w:space="0" w:color="auto"/>
              <w:left w:val="nil"/>
              <w:bottom w:val="single" w:sz="4" w:space="0" w:color="auto"/>
              <w:right w:val="single" w:sz="4" w:space="0" w:color="000000"/>
            </w:tcBorders>
            <w:shd w:val="clear" w:color="000000" w:fill="CCCCFF"/>
            <w:noWrap/>
            <w:vAlign w:val="bottom"/>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2019/2020</w:t>
            </w:r>
          </w:p>
        </w:tc>
      </w:tr>
      <w:tr w:rsidR="006A7210" w:rsidRPr="006A7210" w:rsidTr="008563E8">
        <w:trPr>
          <w:trHeight w:hRule="exact" w:val="289"/>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Bentlakó</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22</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58</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68</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131</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23</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78"/>
          <w:jc w:val="center"/>
        </w:trPr>
        <w:tc>
          <w:tcPr>
            <w:tcW w:w="1207" w:type="pct"/>
            <w:tcBorders>
              <w:top w:val="nil"/>
              <w:left w:val="single" w:sz="4" w:space="0" w:color="auto"/>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Bejáró</w:t>
            </w:r>
          </w:p>
        </w:tc>
        <w:tc>
          <w:tcPr>
            <w:tcW w:w="690"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26</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20</w:t>
            </w:r>
          </w:p>
        </w:tc>
        <w:tc>
          <w:tcPr>
            <w:tcW w:w="604"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40</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121</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8</w:t>
            </w:r>
          </w:p>
        </w:tc>
        <w:tc>
          <w:tcPr>
            <w:tcW w:w="689"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100</w:t>
            </w:r>
          </w:p>
        </w:tc>
      </w:tr>
      <w:tr w:rsidR="006A7210" w:rsidRPr="006A7210" w:rsidTr="008563E8">
        <w:trPr>
          <w:trHeight w:hRule="exact" w:val="293"/>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Összesen</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48</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78</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108</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252</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31</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100</w:t>
            </w:r>
          </w:p>
        </w:tc>
      </w:tr>
      <w:tr w:rsidR="003E686B" w:rsidRPr="006A7210" w:rsidTr="008563E8">
        <w:trPr>
          <w:trHeight w:hRule="exact" w:val="258"/>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3793" w:type="pct"/>
            <w:gridSpan w:val="6"/>
            <w:tcBorders>
              <w:top w:val="single" w:sz="4" w:space="0" w:color="auto"/>
              <w:left w:val="nil"/>
              <w:bottom w:val="single" w:sz="4" w:space="0" w:color="auto"/>
              <w:right w:val="single" w:sz="4" w:space="0" w:color="000000"/>
            </w:tcBorders>
            <w:shd w:val="clear" w:color="000000" w:fill="CCCCFF"/>
            <w:noWrap/>
            <w:vAlign w:val="bottom"/>
            <w:hideMark/>
          </w:tcPr>
          <w:p w:rsidR="003E686B" w:rsidRPr="006A7210" w:rsidRDefault="003E686B" w:rsidP="008563E8">
            <w:pPr>
              <w:spacing w:after="0" w:line="240" w:lineRule="auto"/>
              <w:jc w:val="center"/>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2020/2021</w:t>
            </w:r>
          </w:p>
        </w:tc>
      </w:tr>
      <w:tr w:rsidR="006A7210" w:rsidRPr="006A7210" w:rsidTr="008563E8">
        <w:trPr>
          <w:trHeight w:hRule="exact" w:val="276"/>
          <w:jc w:val="center"/>
        </w:trPr>
        <w:tc>
          <w:tcPr>
            <w:tcW w:w="1207" w:type="pct"/>
            <w:tcBorders>
              <w:top w:val="nil"/>
              <w:left w:val="single" w:sz="4" w:space="0" w:color="auto"/>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Bentlakó</w:t>
            </w:r>
          </w:p>
        </w:tc>
        <w:tc>
          <w:tcPr>
            <w:tcW w:w="690"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22</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17</w:t>
            </w:r>
          </w:p>
        </w:tc>
        <w:tc>
          <w:tcPr>
            <w:tcW w:w="604"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58</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110</w:t>
            </w:r>
          </w:p>
        </w:tc>
        <w:tc>
          <w:tcPr>
            <w:tcW w:w="603"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19</w:t>
            </w:r>
          </w:p>
        </w:tc>
        <w:tc>
          <w:tcPr>
            <w:tcW w:w="689" w:type="pct"/>
            <w:tcBorders>
              <w:top w:val="nil"/>
              <w:left w:val="nil"/>
              <w:bottom w:val="single" w:sz="4"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r>
      <w:tr w:rsidR="006A7210" w:rsidRPr="006A7210" w:rsidTr="008563E8">
        <w:trPr>
          <w:trHeight w:hRule="exact" w:val="294"/>
          <w:jc w:val="center"/>
        </w:trPr>
        <w:tc>
          <w:tcPr>
            <w:tcW w:w="1207" w:type="pct"/>
            <w:tcBorders>
              <w:top w:val="nil"/>
              <w:left w:val="single" w:sz="4" w:space="0" w:color="auto"/>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Bejáró</w:t>
            </w:r>
          </w:p>
        </w:tc>
        <w:tc>
          <w:tcPr>
            <w:tcW w:w="690"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61</w:t>
            </w:r>
          </w:p>
        </w:tc>
        <w:tc>
          <w:tcPr>
            <w:tcW w:w="604"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 45</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158</w:t>
            </w:r>
          </w:p>
        </w:tc>
        <w:tc>
          <w:tcPr>
            <w:tcW w:w="603"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19</w:t>
            </w:r>
          </w:p>
        </w:tc>
        <w:tc>
          <w:tcPr>
            <w:tcW w:w="689" w:type="pct"/>
            <w:tcBorders>
              <w:top w:val="nil"/>
              <w:left w:val="nil"/>
              <w:bottom w:val="single" w:sz="8" w:space="0" w:color="auto"/>
              <w:right w:val="single" w:sz="4" w:space="0" w:color="auto"/>
            </w:tcBorders>
            <w:shd w:val="clear" w:color="auto" w:fill="auto"/>
            <w:noWrap/>
            <w:vAlign w:val="bottom"/>
            <w:hideMark/>
          </w:tcPr>
          <w:p w:rsidR="003E686B" w:rsidRPr="006A7210" w:rsidRDefault="003E686B" w:rsidP="008563E8">
            <w:pPr>
              <w:spacing w:after="0" w:line="240" w:lineRule="auto"/>
              <w:jc w:val="right"/>
              <w:rPr>
                <w:rFonts w:ascii="Times New Roman" w:eastAsia="Times New Roman" w:hAnsi="Times New Roman" w:cs="Times New Roman"/>
                <w:color w:val="000000"/>
                <w:sz w:val="18"/>
                <w:szCs w:val="18"/>
                <w:lang w:eastAsia="hu-HU"/>
              </w:rPr>
            </w:pPr>
            <w:r w:rsidRPr="006A7210">
              <w:rPr>
                <w:rFonts w:ascii="Times New Roman" w:eastAsia="Times New Roman" w:hAnsi="Times New Roman" w:cs="Times New Roman"/>
                <w:color w:val="000000"/>
                <w:sz w:val="18"/>
                <w:szCs w:val="18"/>
                <w:lang w:eastAsia="hu-HU"/>
              </w:rPr>
              <w:t>100</w:t>
            </w:r>
          </w:p>
        </w:tc>
      </w:tr>
      <w:tr w:rsidR="006A7210" w:rsidRPr="006A7210" w:rsidTr="008563E8">
        <w:trPr>
          <w:trHeight w:hRule="exact" w:val="281"/>
          <w:jc w:val="center"/>
        </w:trPr>
        <w:tc>
          <w:tcPr>
            <w:tcW w:w="1207" w:type="pct"/>
            <w:tcBorders>
              <w:top w:val="nil"/>
              <w:left w:val="single" w:sz="4" w:space="0" w:color="auto"/>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Összesen</w:t>
            </w:r>
          </w:p>
        </w:tc>
        <w:tc>
          <w:tcPr>
            <w:tcW w:w="690"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 22</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78</w:t>
            </w:r>
          </w:p>
        </w:tc>
        <w:tc>
          <w:tcPr>
            <w:tcW w:w="604"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 103</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268</w:t>
            </w:r>
          </w:p>
        </w:tc>
        <w:tc>
          <w:tcPr>
            <w:tcW w:w="603"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38</w:t>
            </w:r>
          </w:p>
        </w:tc>
        <w:tc>
          <w:tcPr>
            <w:tcW w:w="689" w:type="pct"/>
            <w:tcBorders>
              <w:top w:val="nil"/>
              <w:left w:val="nil"/>
              <w:bottom w:val="single" w:sz="4" w:space="0" w:color="auto"/>
              <w:right w:val="single" w:sz="4" w:space="0" w:color="auto"/>
            </w:tcBorders>
            <w:shd w:val="clear" w:color="000000" w:fill="DBDBDB"/>
            <w:noWrap/>
            <w:vAlign w:val="bottom"/>
            <w:hideMark/>
          </w:tcPr>
          <w:p w:rsidR="003E686B" w:rsidRPr="006A7210" w:rsidRDefault="003E686B" w:rsidP="008563E8">
            <w:pPr>
              <w:spacing w:after="0" w:line="240" w:lineRule="auto"/>
              <w:jc w:val="right"/>
              <w:rPr>
                <w:rFonts w:ascii="Times New Roman" w:eastAsia="Times New Roman" w:hAnsi="Times New Roman" w:cs="Times New Roman"/>
                <w:b/>
                <w:bCs/>
                <w:color w:val="000000"/>
                <w:sz w:val="18"/>
                <w:szCs w:val="18"/>
                <w:lang w:eastAsia="hu-HU"/>
              </w:rPr>
            </w:pPr>
            <w:r w:rsidRPr="006A7210">
              <w:rPr>
                <w:rFonts w:ascii="Times New Roman" w:eastAsia="Times New Roman" w:hAnsi="Times New Roman" w:cs="Times New Roman"/>
                <w:b/>
                <w:bCs/>
                <w:color w:val="000000"/>
                <w:sz w:val="18"/>
                <w:szCs w:val="18"/>
                <w:lang w:eastAsia="hu-HU"/>
              </w:rPr>
              <w:t>100</w:t>
            </w:r>
          </w:p>
        </w:tc>
      </w:tr>
    </w:tbl>
    <w:p w:rsidR="003E686B" w:rsidRPr="00CC3AF0" w:rsidRDefault="003E686B" w:rsidP="00BA4AC9">
      <w:pPr>
        <w:spacing w:before="200" w:after="60" w:line="360" w:lineRule="exact"/>
        <w:jc w:val="both"/>
        <w:rPr>
          <w:rFonts w:ascii="Times New Roman" w:hAnsi="Times New Roman" w:cs="Times New Roman"/>
          <w:sz w:val="24"/>
          <w:szCs w:val="24"/>
          <w:lang w:eastAsia="hu-HU"/>
        </w:rPr>
      </w:pPr>
      <w:r w:rsidRPr="00CC3AF0">
        <w:rPr>
          <w:rFonts w:ascii="Times New Roman" w:hAnsi="Times New Roman" w:cs="Times New Roman"/>
          <w:b/>
          <w:bCs/>
          <w:sz w:val="24"/>
          <w:szCs w:val="24"/>
          <w:lang w:eastAsia="hu-HU"/>
        </w:rPr>
        <w:t>I.5.4.1. Angelusz Róbert Társadalomtudományi Szakkollégium (ARTSZ)</w:t>
      </w:r>
    </w:p>
    <w:p w:rsidR="00AD662F" w:rsidRPr="008563E8" w:rsidRDefault="003E686B" w:rsidP="00BA4AC9">
      <w:pPr>
        <w:spacing w:before="60" w:line="360" w:lineRule="exact"/>
        <w:rPr>
          <w:rFonts w:ascii="Times New Roman" w:hAnsi="Times New Roman" w:cs="Times New Roman"/>
          <w:b/>
          <w:sz w:val="24"/>
          <w:szCs w:val="24"/>
        </w:rPr>
      </w:pPr>
      <w:r w:rsidRPr="00CC3AF0">
        <w:rPr>
          <w:rFonts w:ascii="Times New Roman" w:hAnsi="Times New Roman" w:cs="Times New Roman"/>
          <w:sz w:val="24"/>
          <w:szCs w:val="24"/>
          <w:lang w:eastAsia="hu-HU"/>
        </w:rPr>
        <w:t>Kutatószakkollégiumként nagy hangsúlyt fektetünk közös kutatások szervezésére, mint például a tíz év óta évenként megrendezett Falukutatás-műhelyünk (</w:t>
      </w:r>
      <w:hyperlink r:id="rId13" w:history="1">
        <w:r w:rsidRPr="00CC3AF0">
          <w:rPr>
            <w:rFonts w:ascii="Times New Roman" w:hAnsi="Times New Roman" w:cs="Times New Roman"/>
            <w:color w:val="0000FF"/>
            <w:sz w:val="24"/>
            <w:szCs w:val="24"/>
            <w:u w:val="single"/>
            <w:lang w:eastAsia="hu-HU"/>
          </w:rPr>
          <w:t>http://falukutatas.hu/</w:t>
        </w:r>
      </w:hyperlink>
      <w:r w:rsidRPr="00CC3AF0">
        <w:rPr>
          <w:rFonts w:ascii="Times New Roman" w:hAnsi="Times New Roman" w:cs="Times New Roman"/>
          <w:sz w:val="24"/>
          <w:szCs w:val="24"/>
          <w:lang w:eastAsia="hu-HU"/>
        </w:rPr>
        <w:t>). Műhelyeink előkészítése során is elsődleges szempont a kutatói tudás megszerzése, későbbi közös kutatásokat előkészítő elméleti alapozás, amely mind társadalomtudományos területeken hallgató tagjaink számára kiegészíti egyetemi tanulmányait, mind pedig szélesíti egyéb interdiszciplináris szakokról érkező tagjaink látőkörét (</w:t>
      </w:r>
      <w:hyperlink r:id="rId14" w:tgtFrame="_blank" w:history="1">
        <w:r w:rsidRPr="00CC3AF0">
          <w:rPr>
            <w:rFonts w:ascii="Times New Roman" w:hAnsi="Times New Roman" w:cs="Times New Roman"/>
            <w:color w:val="0000FF"/>
            <w:sz w:val="24"/>
            <w:szCs w:val="24"/>
            <w:u w:val="single"/>
            <w:lang w:eastAsia="hu-HU"/>
          </w:rPr>
          <w:t>http://angelusz.elte.hu/</w:t>
        </w:r>
      </w:hyperlink>
      <w:r w:rsidRPr="00CC3AF0">
        <w:rPr>
          <w:rFonts w:ascii="Times New Roman" w:hAnsi="Times New Roman" w:cs="Times New Roman"/>
          <w:sz w:val="24"/>
          <w:szCs w:val="24"/>
          <w:lang w:eastAsia="hu-HU"/>
        </w:rPr>
        <w:t>). Szakkollégiumunkban tutor-rendszerünk keretében a tagok személyes, mélyebbre ható segítséget is kapnak egyéni tanulmányaikban is, Szakmai Napunkon, Éves Konferenciánkon, szakmai beszélgetéseinken valamint tanulmányköteteinkben való publikálás során az előadói skillek megszerzése, íráskészség fejlesztése és kölcsönös szakmai segítségnyújás a cél (</w:t>
      </w:r>
      <w:hyperlink r:id="rId15" w:history="1">
        <w:r w:rsidRPr="00CC3AF0">
          <w:rPr>
            <w:rFonts w:ascii="Times New Roman" w:hAnsi="Times New Roman" w:cs="Times New Roman"/>
            <w:color w:val="0000FF"/>
            <w:sz w:val="24"/>
            <w:szCs w:val="24"/>
            <w:u w:val="single"/>
            <w:lang w:eastAsia="hu-HU"/>
          </w:rPr>
          <w:t>https://www.facebook.com/angeluszszakkollegium/</w:t>
        </w:r>
      </w:hyperlink>
      <w:r w:rsidRPr="00CC3AF0">
        <w:rPr>
          <w:rFonts w:ascii="Times New Roman" w:hAnsi="Times New Roman" w:cs="Times New Roman"/>
          <w:sz w:val="24"/>
          <w:szCs w:val="24"/>
          <w:lang w:eastAsia="hu-HU"/>
        </w:rPr>
        <w:t>).</w:t>
      </w:r>
    </w:p>
    <w:p w:rsidR="003E686B" w:rsidRPr="00F8090D" w:rsidRDefault="003E686B" w:rsidP="00C03F01">
      <w:pPr>
        <w:spacing w:before="60" w:after="60" w:line="360" w:lineRule="exact"/>
        <w:jc w:val="both"/>
        <w:rPr>
          <w:rFonts w:ascii="Times New Roman" w:hAnsi="Times New Roman" w:cs="Times New Roman"/>
          <w:b/>
          <w:bCs/>
          <w:sz w:val="24"/>
          <w:szCs w:val="24"/>
        </w:rPr>
      </w:pPr>
      <w:r w:rsidRPr="00F8090D">
        <w:rPr>
          <w:rFonts w:ascii="Times New Roman" w:hAnsi="Times New Roman" w:cs="Times New Roman"/>
          <w:b/>
          <w:bCs/>
          <w:sz w:val="24"/>
          <w:szCs w:val="24"/>
        </w:rPr>
        <w:t>I.5.4.2. Bibó István Szakkollégium (BISZK)</w:t>
      </w:r>
    </w:p>
    <w:p w:rsidR="00AD662F" w:rsidRPr="00BA4AC9" w:rsidRDefault="003E686B" w:rsidP="00BA4AC9">
      <w:pPr>
        <w:spacing w:before="60" w:line="360" w:lineRule="exact"/>
        <w:jc w:val="both"/>
        <w:rPr>
          <w:rFonts w:ascii="Times New Roman" w:hAnsi="Times New Roman" w:cs="Times New Roman"/>
          <w:bCs/>
          <w:sz w:val="24"/>
          <w:szCs w:val="24"/>
        </w:rPr>
      </w:pPr>
      <w:r w:rsidRPr="00F8090D">
        <w:rPr>
          <w:rFonts w:ascii="Times New Roman" w:hAnsi="Times New Roman" w:cs="Times New Roman"/>
          <w:bCs/>
          <w:sz w:val="24"/>
          <w:szCs w:val="24"/>
        </w:rPr>
        <w:t xml:space="preserve">A Bibó István Szakkollégium a legtehetségesebb jogász és politológus hallgatók személyre szabott szakmai fejlesztésével és közösségi tevékenységének támogatásával foglalkozik. A szakmai tevékenység tudományterületenként szerveződő műhelyek rendszerében zajlik, szakemberek támogatásával. A szakkollégisták önálló tudományos kutatásokban és kutatócsoportokban is részt vesznek, amelyek eredményeit tanulmánykötetekben és a Szakkollégium tudományos folyóiratában is publikálhatják. A szakkollégisták egyedülálló </w:t>
      </w:r>
      <w:r w:rsidRPr="00F8090D">
        <w:rPr>
          <w:rFonts w:ascii="Times New Roman" w:hAnsi="Times New Roman" w:cs="Times New Roman"/>
          <w:bCs/>
          <w:sz w:val="24"/>
          <w:szCs w:val="24"/>
        </w:rPr>
        <w:lastRenderedPageBreak/>
        <w:t>eredményeket érnek el hazai és nemzetközi szakmai versenyeken, ösztöndíj-pályázatokon is. Képzési programunkat a Tanulmányi Szabályzat tartalmazza.</w:t>
      </w:r>
    </w:p>
    <w:p w:rsidR="003E686B" w:rsidRDefault="003E686B" w:rsidP="00C03F01">
      <w:pPr>
        <w:spacing w:before="60" w:after="60" w:line="360" w:lineRule="exact"/>
        <w:jc w:val="both"/>
        <w:rPr>
          <w:rFonts w:ascii="Times New Roman" w:hAnsi="Times New Roman" w:cs="Times New Roman"/>
          <w:b/>
          <w:bCs/>
          <w:sz w:val="24"/>
          <w:szCs w:val="24"/>
        </w:rPr>
      </w:pPr>
      <w:r>
        <w:rPr>
          <w:rFonts w:ascii="Times New Roman" w:hAnsi="Times New Roman" w:cs="Times New Roman"/>
          <w:b/>
          <w:bCs/>
          <w:sz w:val="24"/>
          <w:szCs w:val="24"/>
        </w:rPr>
        <w:t>I.5.4.3. Bolyai Kollégium (BK)</w:t>
      </w:r>
    </w:p>
    <w:p w:rsidR="003E686B" w:rsidRDefault="003E686B" w:rsidP="00C03F01">
      <w:pPr>
        <w:spacing w:before="60" w:after="60" w:line="360" w:lineRule="exact"/>
        <w:jc w:val="both"/>
        <w:rPr>
          <w:rFonts w:ascii="Times New Roman" w:hAnsi="Times New Roman" w:cs="Times New Roman"/>
          <w:bCs/>
          <w:sz w:val="24"/>
          <w:szCs w:val="24"/>
        </w:rPr>
      </w:pPr>
      <w:r>
        <w:rPr>
          <w:rFonts w:ascii="Times New Roman" w:hAnsi="Times New Roman" w:cs="Times New Roman"/>
          <w:bCs/>
          <w:sz w:val="24"/>
          <w:szCs w:val="24"/>
        </w:rPr>
        <w:t>A szakkollégisták tudományos, kutatási tevékenysége alapvetően a tanszékekhez kötődik. A Kollégium hozzájárulásai a következők: pénzügyi segítséget nyújtunk a hazai és nemzetközi konferenciákon való részvételekhez; az évente megrendezésre kerülő Bolyai Konferencia során lehetőségük nyílik a szervezési feladatok ellátására, előadások tartására, poszterek bemutatására és a szekcióülések levezetésére. A tudományos ismereteik bővítését szolgálják a szakszemináriumok. A tudományos életben való boldogulást is segítik a Kollégiumban tartott nyelvórák.</w:t>
      </w:r>
    </w:p>
    <w:p w:rsidR="003E686B" w:rsidRDefault="003E686B" w:rsidP="00BA4AC9">
      <w:pPr>
        <w:spacing w:before="60" w:line="360" w:lineRule="exact"/>
        <w:jc w:val="both"/>
        <w:rPr>
          <w:rFonts w:ascii="Times New Roman" w:hAnsi="Times New Roman" w:cs="Times New Roman"/>
          <w:b/>
          <w:bCs/>
          <w:sz w:val="24"/>
          <w:szCs w:val="24"/>
        </w:rPr>
      </w:pPr>
      <w:r>
        <w:rPr>
          <w:rFonts w:ascii="Times New Roman" w:hAnsi="Times New Roman" w:cs="Times New Roman"/>
          <w:bCs/>
          <w:sz w:val="24"/>
          <w:szCs w:val="24"/>
        </w:rPr>
        <w:t>A járványhelyzet miatt a 2020-2021. tanévben szemináriumaink és nyelvóráink kizárólag nem jelenléti oktatás keretében zajlottak. 2020-ban a Bolyai Konferencia elmaradt, de 2021-ben online formában megrendezésre kerül. A középiskolásoknak szervezett levelezős versenyünket 2021-ben is online valósítjuk meg. A Kollégium külsős hallgatói az adott helyzetben online „bejáró” hallgatóként a szemináriumokon, nyelvórákon ezen idő alatt is részt tudtak venni.</w:t>
      </w:r>
    </w:p>
    <w:p w:rsidR="003E686B" w:rsidRPr="004C5776" w:rsidRDefault="003E686B" w:rsidP="00C03F01">
      <w:pPr>
        <w:spacing w:before="60" w:after="60" w:line="360" w:lineRule="exact"/>
        <w:jc w:val="both"/>
        <w:rPr>
          <w:rFonts w:ascii="Times New Roman" w:hAnsi="Times New Roman" w:cs="Times New Roman"/>
          <w:b/>
          <w:bCs/>
          <w:sz w:val="24"/>
          <w:szCs w:val="24"/>
        </w:rPr>
      </w:pPr>
      <w:r w:rsidRPr="00D84DC6">
        <w:rPr>
          <w:rFonts w:ascii="Times New Roman" w:hAnsi="Times New Roman" w:cs="Times New Roman"/>
          <w:b/>
          <w:bCs/>
          <w:sz w:val="24"/>
          <w:szCs w:val="24"/>
        </w:rPr>
        <w:t>I.5.4.4.</w:t>
      </w:r>
      <w:r>
        <w:rPr>
          <w:rFonts w:ascii="Times New Roman" w:hAnsi="Times New Roman" w:cs="Times New Roman"/>
          <w:b/>
          <w:bCs/>
          <w:sz w:val="24"/>
          <w:szCs w:val="24"/>
        </w:rPr>
        <w:t xml:space="preserve"> </w:t>
      </w:r>
      <w:r w:rsidRPr="00D84DC6">
        <w:rPr>
          <w:rFonts w:ascii="Times New Roman" w:hAnsi="Times New Roman" w:cs="Times New Roman"/>
          <w:b/>
          <w:bCs/>
          <w:sz w:val="24"/>
          <w:szCs w:val="24"/>
        </w:rPr>
        <w:t>Eötvös József Collegium (EJC)</w:t>
      </w:r>
    </w:p>
    <w:p w:rsidR="003E686B" w:rsidRDefault="003E686B" w:rsidP="00C03F01">
      <w:pPr>
        <w:spacing w:before="60" w:after="60" w:line="360" w:lineRule="exact"/>
        <w:jc w:val="both"/>
        <w:rPr>
          <w:rFonts w:ascii="Times New Roman" w:hAnsi="Times New Roman" w:cs="Times New Roman"/>
          <w:sz w:val="24"/>
          <w:szCs w:val="24"/>
        </w:rPr>
      </w:pPr>
      <w:r w:rsidRPr="00D84DC6">
        <w:rPr>
          <w:rFonts w:ascii="Times New Roman" w:hAnsi="Times New Roman" w:cs="Times New Roman"/>
          <w:sz w:val="24"/>
          <w:szCs w:val="24"/>
        </w:rPr>
        <w:t xml:space="preserve">Az Eötvös József Collegium az egyetem 125 éve működő szakkollégiuma, történelmi emlékhely, 18 szakmai műhelyében az ELTE négy karához (Bölcsészettudományi, Természettudományi, Informatika és Társadalomtudományi) illetve a Gazdálkodástudományi Intézethez tartozó hallgatóknak és az osztatlan tanárképzésben résztvevőknek az egyetemi oktatást kiegészítő kurzusokat hirdet meg (félévente átlagosan hetvenet). Hét indoeurópai nyelvből kötelezően választható formában, ingyenes nyelvoktatást biztosít. Az oktatási egységek mellett önálló kutatóegységek működnek (Byzantium Központ, Cathedra Magistrorum), amelyek tevékenységükkel a kari kutatási hiányterületeket fedik le. A Collegium évente átlagosan húsz önálló kötetet jelentet meg, amelyek többsége egyedi kutatási területeket reprezentál, nemzetközileg is elismert tudományos eredményeket tartalmaz. </w:t>
      </w:r>
      <w:hyperlink r:id="rId16" w:history="1">
        <w:r w:rsidRPr="00D84DC6">
          <w:rPr>
            <w:rFonts w:ascii="Times New Roman" w:hAnsi="Times New Roman" w:cs="Times New Roman"/>
            <w:color w:val="0000FF"/>
            <w:sz w:val="24"/>
            <w:szCs w:val="24"/>
            <w:u w:val="single"/>
          </w:rPr>
          <w:t>http://honlap.eotvos.elte.hu/</w:t>
        </w:r>
      </w:hyperlink>
      <w:r w:rsidRPr="00D84DC6">
        <w:rPr>
          <w:rFonts w:ascii="Times New Roman" w:hAnsi="Times New Roman" w:cs="Times New Roman"/>
          <w:sz w:val="24"/>
          <w:szCs w:val="24"/>
        </w:rPr>
        <w:t xml:space="preserve"> és a számszerűsített eredmények: </w:t>
      </w:r>
    </w:p>
    <w:p w:rsidR="003E686B" w:rsidRPr="00BA4AC9" w:rsidRDefault="00DF54E0" w:rsidP="00BA4AC9">
      <w:pPr>
        <w:spacing w:before="60" w:line="360" w:lineRule="exact"/>
        <w:jc w:val="both"/>
        <w:rPr>
          <w:rFonts w:ascii="Times New Roman" w:hAnsi="Times New Roman" w:cs="Times New Roman"/>
          <w:sz w:val="24"/>
          <w:szCs w:val="24"/>
        </w:rPr>
      </w:pPr>
      <w:hyperlink r:id="rId17" w:history="1">
        <w:r w:rsidR="003E686B" w:rsidRPr="00D84DC6">
          <w:rPr>
            <w:rFonts w:ascii="Times New Roman" w:hAnsi="Times New Roman" w:cs="Times New Roman"/>
            <w:color w:val="0000FF"/>
            <w:sz w:val="24"/>
            <w:szCs w:val="24"/>
            <w:u w:val="single"/>
          </w:rPr>
          <w:t>https://eotvos.elte.hu/szakmai-munka/eredmenyek</w:t>
        </w:r>
      </w:hyperlink>
      <w:r w:rsidR="00BA4AC9">
        <w:rPr>
          <w:rFonts w:ascii="Times New Roman" w:hAnsi="Times New Roman" w:cs="Times New Roman"/>
          <w:color w:val="0000FF"/>
          <w:sz w:val="24"/>
          <w:szCs w:val="24"/>
        </w:rPr>
        <w:t xml:space="preserve"> .</w:t>
      </w:r>
    </w:p>
    <w:p w:rsidR="003E686B" w:rsidRPr="007F6C59" w:rsidRDefault="003E686B" w:rsidP="00C03F01">
      <w:pPr>
        <w:spacing w:before="60" w:after="60" w:line="360" w:lineRule="exact"/>
        <w:jc w:val="both"/>
        <w:rPr>
          <w:rFonts w:ascii="Times New Roman" w:hAnsi="Times New Roman" w:cs="Times New Roman"/>
          <w:b/>
          <w:bCs/>
          <w:sz w:val="24"/>
          <w:szCs w:val="24"/>
        </w:rPr>
      </w:pPr>
      <w:r>
        <w:rPr>
          <w:rFonts w:ascii="Times New Roman" w:hAnsi="Times New Roman" w:cs="Times New Roman"/>
          <w:b/>
          <w:bCs/>
          <w:sz w:val="24"/>
          <w:szCs w:val="24"/>
        </w:rPr>
        <w:t xml:space="preserve">I.5.4.5. </w:t>
      </w:r>
      <w:r w:rsidRPr="007F6C59">
        <w:rPr>
          <w:rFonts w:ascii="Times New Roman" w:hAnsi="Times New Roman" w:cs="Times New Roman"/>
          <w:b/>
          <w:bCs/>
          <w:sz w:val="24"/>
          <w:szCs w:val="24"/>
        </w:rPr>
        <w:t>Illyés Sándor Szakkollégium (ISSZK)</w:t>
      </w:r>
    </w:p>
    <w:p w:rsidR="003E686B" w:rsidRPr="007F6C59" w:rsidRDefault="003E686B" w:rsidP="00C03F01">
      <w:pPr>
        <w:spacing w:before="60" w:after="60" w:line="360" w:lineRule="exact"/>
        <w:jc w:val="both"/>
        <w:rPr>
          <w:rFonts w:ascii="Times New Roman" w:hAnsi="Times New Roman" w:cs="Times New Roman"/>
          <w:bCs/>
          <w:sz w:val="24"/>
          <w:szCs w:val="24"/>
        </w:rPr>
      </w:pPr>
      <w:r w:rsidRPr="007F6C59">
        <w:rPr>
          <w:rFonts w:ascii="Times New Roman" w:hAnsi="Times New Roman" w:cs="Times New Roman"/>
          <w:bCs/>
          <w:sz w:val="24"/>
          <w:szCs w:val="24"/>
        </w:rPr>
        <w:t>Az Illyés Sándor Szakkollégium elsősorban a pszichológia, nevelés- és pedagógiatudomány szakterületeit öleli fel</w:t>
      </w:r>
      <w:r>
        <w:rPr>
          <w:rFonts w:ascii="Times New Roman" w:hAnsi="Times New Roman" w:cs="Times New Roman"/>
          <w:bCs/>
          <w:sz w:val="24"/>
          <w:szCs w:val="24"/>
        </w:rPr>
        <w:t>, beleértve a gyógypedagógiai képzést</w:t>
      </w:r>
      <w:r w:rsidRPr="007F6C59">
        <w:rPr>
          <w:rFonts w:ascii="Times New Roman" w:hAnsi="Times New Roman" w:cs="Times New Roman"/>
          <w:bCs/>
          <w:sz w:val="24"/>
          <w:szCs w:val="24"/>
        </w:rPr>
        <w:t xml:space="preserve">. A </w:t>
      </w:r>
      <w:r>
        <w:rPr>
          <w:rFonts w:ascii="Times New Roman" w:hAnsi="Times New Roman" w:cs="Times New Roman"/>
          <w:bCs/>
          <w:sz w:val="24"/>
          <w:szCs w:val="24"/>
        </w:rPr>
        <w:t xml:space="preserve">Szakkollégium három alappillére </w:t>
      </w:r>
      <w:r w:rsidRPr="007F6C59">
        <w:rPr>
          <w:rFonts w:ascii="Times New Roman" w:hAnsi="Times New Roman" w:cs="Times New Roman"/>
          <w:bCs/>
          <w:sz w:val="24"/>
          <w:szCs w:val="24"/>
        </w:rPr>
        <w:t>a szakmaiság, a közéletiség és a közösségiség</w:t>
      </w:r>
      <w:r>
        <w:rPr>
          <w:rFonts w:ascii="Times New Roman" w:hAnsi="Times New Roman" w:cs="Times New Roman"/>
          <w:bCs/>
          <w:sz w:val="24"/>
          <w:szCs w:val="24"/>
        </w:rPr>
        <w:t>: ezek a tagok a szakmai tehetséggondozásra, a hivatásból adódó társadalmi felősségvállalásra, valamint az önszerveződő, a horizontális társas struktúrákon alapuló közösségre kívánnak utalni.</w:t>
      </w:r>
    </w:p>
    <w:p w:rsidR="003E686B" w:rsidRPr="007F6C59" w:rsidRDefault="003E686B" w:rsidP="00C03F01">
      <w:pPr>
        <w:spacing w:before="60" w:after="60" w:line="360" w:lineRule="exact"/>
        <w:jc w:val="both"/>
        <w:rPr>
          <w:rFonts w:ascii="Times New Roman" w:hAnsi="Times New Roman" w:cs="Times New Roman"/>
          <w:bCs/>
          <w:sz w:val="24"/>
          <w:szCs w:val="24"/>
        </w:rPr>
      </w:pPr>
      <w:r>
        <w:rPr>
          <w:rFonts w:ascii="Times New Roman" w:hAnsi="Times New Roman" w:cs="Times New Roman"/>
          <w:bCs/>
          <w:sz w:val="24"/>
          <w:szCs w:val="24"/>
        </w:rPr>
        <w:lastRenderedPageBreak/>
        <w:t>A</w:t>
      </w:r>
      <w:r w:rsidRPr="007F6C59">
        <w:rPr>
          <w:rFonts w:ascii="Times New Roman" w:hAnsi="Times New Roman" w:cs="Times New Roman"/>
          <w:bCs/>
          <w:sz w:val="24"/>
          <w:szCs w:val="24"/>
        </w:rPr>
        <w:t xml:space="preserve"> Szakkollégiumban folyó tehetséggondozó tevékenység </w:t>
      </w:r>
      <w:r>
        <w:rPr>
          <w:rFonts w:ascii="Times New Roman" w:hAnsi="Times New Roman" w:cs="Times New Roman"/>
          <w:bCs/>
          <w:sz w:val="24"/>
          <w:szCs w:val="24"/>
        </w:rPr>
        <w:t xml:space="preserve">alapját a három szakmai </w:t>
      </w:r>
      <w:r w:rsidRPr="007F6C59">
        <w:rPr>
          <w:rFonts w:ascii="Times New Roman" w:hAnsi="Times New Roman" w:cs="Times New Roman"/>
          <w:bCs/>
          <w:sz w:val="24"/>
          <w:szCs w:val="24"/>
        </w:rPr>
        <w:t>műhely képezi</w:t>
      </w:r>
      <w:r>
        <w:rPr>
          <w:rFonts w:ascii="Times New Roman" w:hAnsi="Times New Roman" w:cs="Times New Roman"/>
          <w:bCs/>
          <w:sz w:val="24"/>
          <w:szCs w:val="24"/>
        </w:rPr>
        <w:t>:</w:t>
      </w:r>
      <w:r w:rsidRPr="007F6C59">
        <w:rPr>
          <w:rFonts w:ascii="Times New Roman" w:hAnsi="Times New Roman" w:cs="Times New Roman"/>
          <w:bCs/>
          <w:sz w:val="24"/>
          <w:szCs w:val="24"/>
        </w:rPr>
        <w:t xml:space="preserve"> </w:t>
      </w:r>
      <w:r>
        <w:rPr>
          <w:rFonts w:ascii="Times New Roman" w:hAnsi="Times New Roman" w:cs="Times New Roman"/>
          <w:bCs/>
          <w:sz w:val="24"/>
          <w:szCs w:val="24"/>
        </w:rPr>
        <w:t>a</w:t>
      </w:r>
      <w:r w:rsidRPr="007F6C59">
        <w:rPr>
          <w:rFonts w:ascii="Times New Roman" w:hAnsi="Times New Roman" w:cs="Times New Roman"/>
          <w:bCs/>
          <w:sz w:val="24"/>
          <w:szCs w:val="24"/>
        </w:rPr>
        <w:t xml:space="preserve"> Pszichológia, </w:t>
      </w:r>
      <w:r>
        <w:rPr>
          <w:rFonts w:ascii="Times New Roman" w:hAnsi="Times New Roman" w:cs="Times New Roman"/>
          <w:bCs/>
          <w:sz w:val="24"/>
          <w:szCs w:val="24"/>
        </w:rPr>
        <w:t xml:space="preserve">az </w:t>
      </w:r>
      <w:r w:rsidRPr="007F6C59">
        <w:rPr>
          <w:rFonts w:ascii="Times New Roman" w:hAnsi="Times New Roman" w:cs="Times New Roman"/>
          <w:bCs/>
          <w:sz w:val="24"/>
          <w:szCs w:val="24"/>
        </w:rPr>
        <w:t xml:space="preserve">Iskolák Világa és Társadalmi Felelősségvállalás </w:t>
      </w:r>
      <w:r>
        <w:rPr>
          <w:rFonts w:ascii="Times New Roman" w:hAnsi="Times New Roman" w:cs="Times New Roman"/>
          <w:bCs/>
          <w:sz w:val="24"/>
          <w:szCs w:val="24"/>
        </w:rPr>
        <w:t>műhelyekben a nem pusztán szakmai, hanem a pszichológia és pedagógia mint hivatás gyakorlására irányuló fejlesztés folyik.</w:t>
      </w:r>
      <w:r w:rsidRPr="007F6C59">
        <w:rPr>
          <w:rFonts w:ascii="Times New Roman" w:hAnsi="Times New Roman" w:cs="Times New Roman"/>
          <w:bCs/>
          <w:sz w:val="24"/>
          <w:szCs w:val="24"/>
        </w:rPr>
        <w:t xml:space="preserve"> A műhelyek keretén belül a szakkollégisták saját érdeklődésüknek megfelelő témákkal foglalkozhatnak, tudományos és közéleti szinten egyaránt. Ezekben az egyetem tapasztalt műhelyvezető oktatóitól kapnak szakmai támogatást.</w:t>
      </w:r>
    </w:p>
    <w:p w:rsidR="00845151" w:rsidRPr="00BA4AC9" w:rsidRDefault="003E686B" w:rsidP="00BA4AC9">
      <w:pPr>
        <w:spacing w:before="60" w:line="360" w:lineRule="exact"/>
        <w:jc w:val="both"/>
        <w:rPr>
          <w:rFonts w:ascii="Times New Roman" w:hAnsi="Times New Roman" w:cs="Times New Roman"/>
          <w:bCs/>
          <w:sz w:val="24"/>
          <w:szCs w:val="24"/>
        </w:rPr>
      </w:pPr>
      <w:r>
        <w:rPr>
          <w:rFonts w:ascii="Times New Roman" w:hAnsi="Times New Roman" w:cs="Times New Roman"/>
          <w:bCs/>
          <w:sz w:val="24"/>
          <w:szCs w:val="24"/>
        </w:rPr>
        <w:t>A műhelyek mellett</w:t>
      </w:r>
      <w:r w:rsidRPr="007F6C59">
        <w:rPr>
          <w:rFonts w:ascii="Times New Roman" w:hAnsi="Times New Roman" w:cs="Times New Roman"/>
          <w:bCs/>
          <w:sz w:val="24"/>
          <w:szCs w:val="24"/>
        </w:rPr>
        <w:t xml:space="preserve"> a </w:t>
      </w:r>
      <w:r>
        <w:rPr>
          <w:rFonts w:ascii="Times New Roman" w:hAnsi="Times New Roman" w:cs="Times New Roman"/>
          <w:bCs/>
          <w:sz w:val="24"/>
          <w:szCs w:val="24"/>
        </w:rPr>
        <w:t>szakmai</w:t>
      </w:r>
      <w:r w:rsidRPr="007F6C59">
        <w:rPr>
          <w:rFonts w:ascii="Times New Roman" w:hAnsi="Times New Roman" w:cs="Times New Roman"/>
          <w:bCs/>
          <w:sz w:val="24"/>
          <w:szCs w:val="24"/>
        </w:rPr>
        <w:t xml:space="preserve"> </w:t>
      </w:r>
      <w:r>
        <w:rPr>
          <w:rFonts w:ascii="Times New Roman" w:hAnsi="Times New Roman" w:cs="Times New Roman"/>
          <w:bCs/>
          <w:sz w:val="24"/>
          <w:szCs w:val="24"/>
        </w:rPr>
        <w:t>fejlődés</w:t>
      </w:r>
      <w:r w:rsidRPr="007F6C59">
        <w:rPr>
          <w:rFonts w:ascii="Times New Roman" w:hAnsi="Times New Roman" w:cs="Times New Roman"/>
          <w:bCs/>
          <w:sz w:val="24"/>
          <w:szCs w:val="24"/>
        </w:rPr>
        <w:t xml:space="preserve"> támogatása érdekében </w:t>
      </w:r>
      <w:r>
        <w:rPr>
          <w:rFonts w:ascii="Times New Roman" w:hAnsi="Times New Roman" w:cs="Times New Roman"/>
          <w:bCs/>
          <w:sz w:val="24"/>
          <w:szCs w:val="24"/>
        </w:rPr>
        <w:t>a hallgatók igényei alapján speciális kurzusok indulnak</w:t>
      </w:r>
      <w:r w:rsidRPr="007F6C59">
        <w:rPr>
          <w:rFonts w:ascii="Times New Roman" w:hAnsi="Times New Roman" w:cs="Times New Roman"/>
          <w:bCs/>
          <w:sz w:val="24"/>
          <w:szCs w:val="24"/>
        </w:rPr>
        <w:t>.</w:t>
      </w:r>
      <w:r>
        <w:rPr>
          <w:rFonts w:ascii="Times New Roman" w:hAnsi="Times New Roman" w:cs="Times New Roman"/>
          <w:bCs/>
          <w:sz w:val="24"/>
          <w:szCs w:val="24"/>
        </w:rPr>
        <w:t xml:space="preserve"> Az egyéni konzultációk mellett e kurzusok alapozzák meg a hallg</w:t>
      </w:r>
      <w:r w:rsidR="00845151">
        <w:rPr>
          <w:rFonts w:ascii="Times New Roman" w:hAnsi="Times New Roman" w:cs="Times New Roman"/>
          <w:bCs/>
          <w:sz w:val="24"/>
          <w:szCs w:val="24"/>
        </w:rPr>
        <w:t>atók önálló tudományos munkáit.</w:t>
      </w:r>
    </w:p>
    <w:p w:rsidR="003E686B" w:rsidRPr="009D20CA" w:rsidRDefault="003E686B" w:rsidP="00C03F01">
      <w:pPr>
        <w:spacing w:before="60" w:after="60" w:line="360" w:lineRule="exact"/>
        <w:jc w:val="both"/>
        <w:rPr>
          <w:rFonts w:ascii="Times New Roman" w:eastAsia="Calibri" w:hAnsi="Times New Roman" w:cs="Times New Roman"/>
          <w:b/>
          <w:bCs/>
          <w:sz w:val="24"/>
          <w:szCs w:val="24"/>
        </w:rPr>
      </w:pPr>
      <w:r w:rsidRPr="009D20CA">
        <w:rPr>
          <w:rFonts w:ascii="Times New Roman" w:eastAsia="Calibri" w:hAnsi="Times New Roman" w:cs="Times New Roman"/>
          <w:b/>
          <w:bCs/>
          <w:sz w:val="24"/>
          <w:szCs w:val="24"/>
        </w:rPr>
        <w:t>I.5.4.6. Márton Áron Szakkollégium (MÁSZ)</w:t>
      </w:r>
    </w:p>
    <w:p w:rsidR="00845151" w:rsidRDefault="003E686B" w:rsidP="00C03F01">
      <w:pPr>
        <w:spacing w:before="60" w:after="60" w:line="360" w:lineRule="exact"/>
        <w:jc w:val="both"/>
        <w:rPr>
          <w:rFonts w:ascii="Times New Roman" w:eastAsia="Calibri" w:hAnsi="Times New Roman" w:cs="Times New Roman"/>
          <w:bCs/>
          <w:sz w:val="24"/>
          <w:szCs w:val="24"/>
        </w:rPr>
      </w:pPr>
      <w:r w:rsidRPr="009D20CA">
        <w:rPr>
          <w:rFonts w:ascii="Times New Roman" w:eastAsia="Calibri" w:hAnsi="Times New Roman" w:cs="Times New Roman"/>
          <w:bCs/>
          <w:sz w:val="24"/>
          <w:szCs w:val="24"/>
        </w:rPr>
        <w:t xml:space="preserve">A szakkollégiumi képzés műhelykeretek között folyik. Az egyes szakmai műhelyek lefedik az egyetemi oktatás valamennyi képzési területét. A Szakkollégiumban a következő műhelyek működnek: 1. Bölcsészettudományi; 2. Természettudományi; 3. Informatikai; 4. Jogi és Társadalomtudományi; 5. Gazdaságtudományi; 6. Pedagógusképző; 7. Műszaki; 8. Orvos-, Egészség- és Sporttudományi; 9. Művészeti; 10. Nemzetstratégiai. </w:t>
      </w:r>
    </w:p>
    <w:p w:rsidR="006D3F7B" w:rsidRPr="00BA4AC9" w:rsidRDefault="003E686B" w:rsidP="00BA4AC9">
      <w:pPr>
        <w:spacing w:before="60" w:line="360" w:lineRule="exact"/>
        <w:jc w:val="both"/>
        <w:rPr>
          <w:rFonts w:ascii="Times New Roman" w:eastAsia="Calibri" w:hAnsi="Times New Roman" w:cs="Times New Roman"/>
          <w:bCs/>
          <w:sz w:val="24"/>
          <w:szCs w:val="24"/>
        </w:rPr>
      </w:pPr>
      <w:r w:rsidRPr="009D20CA">
        <w:rPr>
          <w:rFonts w:ascii="Times New Roman" w:eastAsia="Calibri" w:hAnsi="Times New Roman" w:cs="Times New Roman"/>
          <w:bCs/>
          <w:sz w:val="24"/>
          <w:szCs w:val="24"/>
        </w:rPr>
        <w:t xml:space="preserve">Az egyes műhelyek vezetői az ELTE oktatói állományához tartozó minősített oktatók. A műhelyek munkájáról részletesen: </w:t>
      </w:r>
      <w:hyperlink r:id="rId18" w:history="1">
        <w:r w:rsidRPr="002E6296">
          <w:rPr>
            <w:rStyle w:val="Hiperhivatkozs"/>
            <w:rFonts w:ascii="Times New Roman" w:eastAsia="Calibri" w:hAnsi="Times New Roman" w:cs="Times New Roman"/>
            <w:bCs/>
            <w:sz w:val="24"/>
            <w:szCs w:val="24"/>
          </w:rPr>
          <w:t>https://martonaron.elte.hu/szakkollegium</w:t>
        </w:r>
      </w:hyperlink>
      <w:r w:rsidR="00BA4AC9">
        <w:rPr>
          <w:rFonts w:ascii="Times New Roman" w:eastAsia="Calibri" w:hAnsi="Times New Roman" w:cs="Times New Roman"/>
          <w:bCs/>
          <w:sz w:val="24"/>
          <w:szCs w:val="24"/>
        </w:rPr>
        <w:t>.</w:t>
      </w:r>
    </w:p>
    <w:p w:rsidR="003E686B" w:rsidRPr="007F6C59" w:rsidRDefault="003E686B" w:rsidP="00C03F01">
      <w:pPr>
        <w:spacing w:before="60" w:after="60" w:line="360" w:lineRule="exact"/>
        <w:jc w:val="both"/>
        <w:rPr>
          <w:rFonts w:ascii="Times New Roman" w:hAnsi="Times New Roman" w:cs="Times New Roman"/>
          <w:b/>
          <w:sz w:val="24"/>
          <w:szCs w:val="24"/>
        </w:rPr>
      </w:pPr>
      <w:r>
        <w:rPr>
          <w:rFonts w:ascii="Times New Roman" w:hAnsi="Times New Roman" w:cs="Times New Roman"/>
          <w:b/>
          <w:sz w:val="24"/>
          <w:szCs w:val="24"/>
        </w:rPr>
        <w:t xml:space="preserve">1.5.5.1. </w:t>
      </w:r>
      <w:r w:rsidRPr="007F6C59">
        <w:rPr>
          <w:rFonts w:ascii="Times New Roman" w:hAnsi="Times New Roman" w:cs="Times New Roman"/>
          <w:b/>
          <w:sz w:val="24"/>
          <w:szCs w:val="24"/>
        </w:rPr>
        <w:t>Egyetemközi Francia Központ</w:t>
      </w:r>
    </w:p>
    <w:p w:rsidR="00845151" w:rsidRPr="00845151" w:rsidRDefault="003E686B" w:rsidP="00BA4AC9">
      <w:pPr>
        <w:spacing w:before="60" w:line="360" w:lineRule="exact"/>
        <w:jc w:val="both"/>
        <w:rPr>
          <w:rFonts w:ascii="Times New Roman" w:hAnsi="Times New Roman" w:cs="Times New Roman"/>
          <w:sz w:val="24"/>
          <w:szCs w:val="24"/>
        </w:rPr>
      </w:pPr>
      <w:r w:rsidRPr="007F6C59">
        <w:rPr>
          <w:rFonts w:ascii="Times New Roman" w:hAnsi="Times New Roman" w:cs="Times New Roman"/>
          <w:sz w:val="24"/>
          <w:szCs w:val="24"/>
        </w:rPr>
        <w:t>Az Egyetemközi Francia Központ (EFK) pedagógiai-oktatási, tudományos, kutatási és publikációs tevékenységet végez, és emellett francia és frankofón tájékoztató-információs és népszerűsítő központként működik. Mind az oktatási, mind a tudományos tevékenység esetében a szervezés és a koordináció kerül előtérbe, ui. az EFK fő szerepe a kapcsolattartás a francia kulturális kormányzat, a francia és frankofón egyetemi világ és a magyar egyetemek francia és frankofón képzései és programjai között.</w:t>
      </w:r>
    </w:p>
    <w:p w:rsidR="003E686B" w:rsidRDefault="003E686B" w:rsidP="00C03F01">
      <w:pPr>
        <w:spacing w:before="60" w:after="60" w:line="360" w:lineRule="exact"/>
        <w:rPr>
          <w:rFonts w:ascii="Times New Roman" w:hAnsi="Times New Roman" w:cs="Times New Roman"/>
          <w:b/>
          <w:sz w:val="24"/>
          <w:szCs w:val="24"/>
        </w:rPr>
      </w:pPr>
      <w:r w:rsidRPr="001D7016">
        <w:rPr>
          <w:rFonts w:ascii="Times New Roman" w:hAnsi="Times New Roman" w:cs="Times New Roman"/>
          <w:b/>
          <w:bCs/>
          <w:sz w:val="24"/>
          <w:szCs w:val="24"/>
        </w:rPr>
        <w:t xml:space="preserve">I.5.5.2. </w:t>
      </w:r>
      <w:r w:rsidRPr="001D7016">
        <w:rPr>
          <w:rFonts w:ascii="Times New Roman" w:hAnsi="Times New Roman" w:cs="Times New Roman"/>
          <w:b/>
          <w:sz w:val="24"/>
          <w:szCs w:val="24"/>
        </w:rPr>
        <w:t>ELTE Konfuciusz Intézet</w:t>
      </w:r>
    </w:p>
    <w:p w:rsidR="003E686B" w:rsidRPr="003E686B" w:rsidRDefault="003E686B" w:rsidP="00C03F01">
      <w:pPr>
        <w:spacing w:before="60" w:after="60" w:line="360" w:lineRule="exact"/>
        <w:rPr>
          <w:rFonts w:ascii="Times New Roman" w:hAnsi="Times New Roman" w:cs="Times New Roman"/>
          <w:b/>
          <w:sz w:val="24"/>
          <w:szCs w:val="24"/>
        </w:rPr>
      </w:pPr>
      <w:r w:rsidRPr="001D7016">
        <w:rPr>
          <w:rFonts w:ascii="Times New Roman" w:hAnsi="Times New Roman" w:cs="Times New Roman"/>
          <w:sz w:val="24"/>
          <w:szCs w:val="24"/>
        </w:rPr>
        <w:t xml:space="preserve">2020-ban egy nem várt kihívással kellett szembe néznie az Intézetnek: a koronavírus járvány miatt márciusban és novemberben is át kellett állnia az online oktatásra. Ehhez a Microsoft Teams, a Zoom és a ClassIn nevű programokat használtuk. Azokban a partner intézményeinkben (általános iskolák és gimnáziumok), ahol csak szakköröket tartottunk, ideiglenesen felfüggesztésre kerültek a tanfolyamaink. </w:t>
      </w:r>
    </w:p>
    <w:p w:rsidR="003E686B"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t>A modulos órák mellett továbbá is népszerűek a Business Chinese tanfolyamok.  2020-ban összesen 2494 alkalommal regisztráltak a hallgatók a különböző nyelvtanfolyamokra. 2020-ban tartottuk először a BCT nyelvvizsgánkat, amelyen két vizsgázó vett részt.</w:t>
      </w:r>
      <w:r w:rsidRPr="001D7016">
        <w:rPr>
          <w:rFonts w:ascii="Times New Roman" w:hAnsi="Times New Roman" w:cs="Times New Roman"/>
          <w:sz w:val="24"/>
          <w:szCs w:val="24"/>
        </w:rPr>
        <w:br/>
        <w:t>A márciusi és decemberi HSK és HSKK nyelvvizsgákat is el kellett halasztanunk, ezért kettő alkalom helyett csak egyszer, 2020. júliusában került rájuk sor, és összesen 285-en jelentkeztek. A</w:t>
      </w:r>
      <w:r w:rsidR="00BA4AC9">
        <w:rPr>
          <w:rFonts w:ascii="Times New Roman" w:hAnsi="Times New Roman" w:cs="Times New Roman"/>
          <w:sz w:val="24"/>
          <w:szCs w:val="24"/>
        </w:rPr>
        <w:t xml:space="preserve"> </w:t>
      </w:r>
      <w:r w:rsidRPr="001D7016">
        <w:rPr>
          <w:rFonts w:ascii="Times New Roman" w:hAnsi="Times New Roman" w:cs="Times New Roman"/>
          <w:sz w:val="24"/>
          <w:szCs w:val="24"/>
        </w:rPr>
        <w:t>2020. novemberére tervezett YCT vizsgát is elhalasztottuk 2021-re.</w:t>
      </w:r>
    </w:p>
    <w:p w:rsidR="003E686B" w:rsidRPr="001D7016"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lastRenderedPageBreak/>
        <w:t xml:space="preserve">A 2020-as tanévben folytatódtak az ingyenes kínai nyelvi órák a partner intézetekben. 2019-hez képest a partner intézetek köre 3 új intézménnyel bővült: az ESSCA School of Management-tel, a Mathias Corvinus Collegium Alapítvánnyal és a Magyar Diplomáciai Akadémiával.  2020-ban is 13 diák tett osztályozó vizsgát kínai nyelvből a Madách Imre Gimnáziumban az ELTE Konfuciusz Intézet segítségével, azonban az érettségi vizsgát (amelyből 2020 nyarán csak írásbeli vizsgát tartottak) csak 2 fő választotta. </w:t>
      </w:r>
    </w:p>
    <w:p w:rsidR="003E686B" w:rsidRPr="001D7016"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t>2020. júliusában online került megrendezésre partneregyetemünk, a Pekingi Idegen Nyelvi Egyetem „</w:t>
      </w:r>
      <w:r w:rsidRPr="001D7016">
        <w:rPr>
          <w:rFonts w:ascii="Times New Roman" w:hAnsi="Times New Roman" w:cs="Times New Roman"/>
          <w:i/>
          <w:sz w:val="24"/>
          <w:szCs w:val="24"/>
        </w:rPr>
        <w:t>You and Me in Beijing</w:t>
      </w:r>
      <w:r w:rsidRPr="001D7016">
        <w:rPr>
          <w:rFonts w:ascii="Times New Roman" w:hAnsi="Times New Roman" w:cs="Times New Roman"/>
          <w:sz w:val="24"/>
          <w:szCs w:val="24"/>
        </w:rPr>
        <w:t>” elnevezésű nyári tábora, amelyen 26 hallgatónk vett részt.</w:t>
      </w:r>
    </w:p>
    <w:p w:rsidR="003E686B" w:rsidRPr="001D7016"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t>2020. november 5-én a „</w:t>
      </w:r>
      <w:r w:rsidRPr="001D7016">
        <w:rPr>
          <w:rFonts w:ascii="Times New Roman" w:hAnsi="Times New Roman" w:cs="Times New Roman"/>
          <w:i/>
          <w:iCs/>
          <w:sz w:val="24"/>
          <w:szCs w:val="24"/>
        </w:rPr>
        <w:t>Fiatal sinológusok házi konferenciája</w:t>
      </w:r>
      <w:r w:rsidRPr="001D7016">
        <w:rPr>
          <w:rFonts w:ascii="Times New Roman" w:hAnsi="Times New Roman" w:cs="Times New Roman"/>
          <w:sz w:val="24"/>
          <w:szCs w:val="24"/>
        </w:rPr>
        <w:t>” elnevezésű programot személyesen sikerült megtartanunk. 2020. december 12-én tartotta Intézetünk a 1st CEETC webinar-t, amelynek címe: „</w:t>
      </w:r>
      <w:r w:rsidRPr="001D7016">
        <w:rPr>
          <w:rFonts w:ascii="Times New Roman" w:hAnsi="Times New Roman" w:cs="Times New Roman"/>
          <w:i/>
          <w:iCs/>
          <w:sz w:val="24"/>
          <w:szCs w:val="24"/>
        </w:rPr>
        <w:t>Digital responses to the COVID-19 challenges in teaching Chinese</w:t>
      </w:r>
      <w:r w:rsidRPr="001D7016">
        <w:rPr>
          <w:rFonts w:ascii="Times New Roman" w:hAnsi="Times New Roman" w:cs="Times New Roman"/>
          <w:sz w:val="24"/>
          <w:szCs w:val="24"/>
        </w:rPr>
        <w:t>”.</w:t>
      </w:r>
      <w:r w:rsidRPr="001D7016">
        <w:rPr>
          <w:rFonts w:ascii="Times New Roman" w:hAnsi="Times New Roman" w:cs="Times New Roman"/>
          <w:sz w:val="24"/>
          <w:szCs w:val="24"/>
          <w:lang w:eastAsia="zh-CN"/>
        </w:rPr>
        <w:t xml:space="preserve"> („Digitális válaszok a COVID-19 kihívásaira a kínai nyelvoktatásban”) A konferenciára 14 országból több mint 100 résztvevő jelentkezett be.</w:t>
      </w:r>
    </w:p>
    <w:p w:rsidR="003E686B" w:rsidRPr="001D7016"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t>2020-ban jelent meg a „Távol-keleti Tanulmányok” két kötete (2019/1 és 2019/2), valamint a „</w:t>
      </w:r>
      <w:r w:rsidRPr="001D7016">
        <w:rPr>
          <w:rFonts w:ascii="Times New Roman" w:hAnsi="Times New Roman" w:cs="Times New Roman"/>
          <w:i/>
          <w:iCs/>
          <w:sz w:val="24"/>
          <w:szCs w:val="24"/>
        </w:rPr>
        <w:t>Kínai bölcselet és művészet. Tanulmányok Tőkei Ferenc emlékére</w:t>
      </w:r>
      <w:r w:rsidRPr="001D7016">
        <w:rPr>
          <w:rFonts w:ascii="Times New Roman" w:hAnsi="Times New Roman" w:cs="Times New Roman"/>
          <w:sz w:val="24"/>
          <w:szCs w:val="24"/>
        </w:rPr>
        <w:t>” című tanulmánykötet a Konfuciusz Könyvtár című tudományos sorozatban.</w:t>
      </w:r>
    </w:p>
    <w:p w:rsidR="003E686B" w:rsidRPr="001D7016" w:rsidRDefault="003E686B" w:rsidP="00C03F01">
      <w:pPr>
        <w:spacing w:before="60" w:after="60" w:line="360" w:lineRule="exact"/>
        <w:jc w:val="both"/>
        <w:rPr>
          <w:rFonts w:ascii="Times New Roman" w:hAnsi="Times New Roman" w:cs="Times New Roman"/>
          <w:sz w:val="24"/>
          <w:szCs w:val="24"/>
        </w:rPr>
      </w:pPr>
      <w:r w:rsidRPr="001D7016">
        <w:rPr>
          <w:rFonts w:ascii="Times New Roman" w:hAnsi="Times New Roman" w:cs="Times New Roman"/>
          <w:sz w:val="24"/>
          <w:szCs w:val="24"/>
        </w:rPr>
        <w:t xml:space="preserve">A Magyar-Kínai szótárirány befejezéséhez az ELTE Konfuciusz Intézete a kínai Center for Language Education and Cooperation -től 19 366 599 forint összegű támogatást kapott. A támogatás a szerződés egyeztetése miatt késett, csak 2020. december 08.-án utaltál, ezért a felhasználása a 2021. évre tolódik. </w:t>
      </w:r>
    </w:p>
    <w:p w:rsidR="003E686B" w:rsidRDefault="003E686B" w:rsidP="00C03F01">
      <w:pPr>
        <w:spacing w:before="60" w:after="60" w:line="360" w:lineRule="exact"/>
        <w:jc w:val="both"/>
        <w:rPr>
          <w:rFonts w:ascii="Times New Roman" w:hAnsi="Times New Roman" w:cs="Times New Roman"/>
          <w:sz w:val="24"/>
          <w:szCs w:val="24"/>
          <w:lang w:eastAsia="zh-CN"/>
        </w:rPr>
      </w:pPr>
      <w:r w:rsidRPr="001D7016">
        <w:rPr>
          <w:rFonts w:ascii="Times New Roman" w:hAnsi="Times New Roman" w:cs="Times New Roman"/>
          <w:sz w:val="24"/>
          <w:szCs w:val="24"/>
          <w:lang w:eastAsia="zh-CN"/>
        </w:rPr>
        <w:t>A kiemelt feladatok ellátása és az oktatás mellett az ELTE Konfuciusz Intézet 2020-ban is színes kulturális programokkal várta az érdeklődőket. Az év során több mint 35 különböző kulturális rendezvényt szerveztek, ezek egy részét külső helyszínen, más részét az Intézetben tartották meg. Az elmúlt év COVID-19 miatti korlátozásai természetesen az Intézet megszokott működésére is befolyással voltak, a kulturális programokat jelenléti formában csak a tavaszi és az őszi időszakban tudták megtartani.</w:t>
      </w:r>
    </w:p>
    <w:p w:rsidR="00252EE6" w:rsidRDefault="00252EE6" w:rsidP="00C03F01">
      <w:pPr>
        <w:spacing w:before="60" w:after="60" w:line="360" w:lineRule="exact"/>
        <w:jc w:val="both"/>
        <w:rPr>
          <w:rFonts w:ascii="Times New Roman" w:hAnsi="Times New Roman" w:cs="Times New Roman"/>
          <w:sz w:val="24"/>
          <w:szCs w:val="24"/>
          <w:lang w:eastAsia="zh-CN"/>
        </w:rPr>
      </w:pPr>
    </w:p>
    <w:p w:rsidR="00AD67D1" w:rsidRPr="00852F1D" w:rsidRDefault="00AD67D1" w:rsidP="00BA4AC9">
      <w:pPr>
        <w:spacing w:before="60" w:line="360" w:lineRule="exact"/>
        <w:jc w:val="both"/>
        <w:rPr>
          <w:rFonts w:ascii="Times New Roman" w:eastAsia="Times New Roman" w:hAnsi="Times New Roman" w:cs="Times New Roman"/>
          <w:b/>
          <w:sz w:val="24"/>
          <w:szCs w:val="24"/>
        </w:rPr>
      </w:pPr>
      <w:r w:rsidRPr="00852F1D">
        <w:rPr>
          <w:rFonts w:ascii="Times New Roman" w:eastAsia="Times New Roman" w:hAnsi="Times New Roman" w:cs="Times New Roman"/>
          <w:b/>
          <w:sz w:val="24"/>
          <w:szCs w:val="24"/>
        </w:rPr>
        <w:t>I.6.  Kari szervezetbe nem tartozó központi szolgáltató szervezeti egységek</w:t>
      </w:r>
    </w:p>
    <w:p w:rsidR="00742AAB" w:rsidRPr="00252EE6" w:rsidRDefault="00AD67D1" w:rsidP="00C03F01">
      <w:pPr>
        <w:spacing w:before="60" w:after="60" w:line="360" w:lineRule="exact"/>
        <w:jc w:val="both"/>
        <w:rPr>
          <w:rFonts w:ascii="Times New Roman" w:eastAsia="Times New Roman" w:hAnsi="Times New Roman" w:cs="Times New Roman"/>
          <w:b/>
          <w:sz w:val="24"/>
          <w:szCs w:val="24"/>
        </w:rPr>
      </w:pPr>
      <w:r w:rsidRPr="00742AAB">
        <w:rPr>
          <w:rFonts w:ascii="Times New Roman" w:eastAsia="Times New Roman" w:hAnsi="Times New Roman" w:cs="Times New Roman"/>
          <w:b/>
          <w:sz w:val="24"/>
          <w:szCs w:val="24"/>
        </w:rPr>
        <w:t xml:space="preserve">I.6.1 </w:t>
      </w:r>
      <w:r w:rsidR="00997A96" w:rsidRPr="00742AAB">
        <w:rPr>
          <w:rFonts w:ascii="Times New Roman" w:eastAsia="Times New Roman" w:hAnsi="Times New Roman" w:cs="Times New Roman"/>
          <w:b/>
          <w:sz w:val="24"/>
          <w:szCs w:val="24"/>
        </w:rPr>
        <w:t>Egyetemi Könyvtár</w:t>
      </w:r>
      <w:r w:rsidR="00AA1B07" w:rsidRPr="00742AAB">
        <w:rPr>
          <w:rFonts w:ascii="Times New Roman" w:eastAsia="Times New Roman" w:hAnsi="Times New Roman" w:cs="Times New Roman"/>
          <w:b/>
          <w:sz w:val="24"/>
          <w:szCs w:val="24"/>
        </w:rPr>
        <w:t xml:space="preserve"> és Levéltár</w:t>
      </w:r>
      <w:r w:rsidR="00A26A1F" w:rsidRPr="00742AAB">
        <w:rPr>
          <w:rFonts w:ascii="Times New Roman" w:eastAsia="Times New Roman" w:hAnsi="Times New Roman" w:cs="Times New Roman"/>
          <w:b/>
          <w:sz w:val="24"/>
          <w:szCs w:val="24"/>
        </w:rPr>
        <w:t xml:space="preserve"> </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Az </w:t>
      </w:r>
      <w:r w:rsidRPr="00742AAB">
        <w:rPr>
          <w:rFonts w:ascii="Times New Roman" w:eastAsia="Times New Roman" w:hAnsi="Times New Roman" w:cs="Times New Roman"/>
          <w:b/>
          <w:sz w:val="24"/>
          <w:szCs w:val="24"/>
        </w:rPr>
        <w:t>Egyetemi Könyvtári Szolgálat (EKSZ)</w:t>
      </w:r>
      <w:r w:rsidRPr="00742AAB">
        <w:rPr>
          <w:rFonts w:ascii="Times New Roman" w:eastAsia="Times New Roman" w:hAnsi="Times New Roman" w:cs="Times New Roman"/>
          <w:sz w:val="24"/>
          <w:szCs w:val="24"/>
        </w:rPr>
        <w:t xml:space="preserve"> tagkönyvtárai: az Egyetemi Könyvtár és Levéltár, mint központi feladatokat koordináló könyvtár, valamint 8 kari és egyes, kari szervezetbe nem tartozó, központi egységek könyvtárai együttesen valósítják meg az ELTE polgárainak, valamint a nyilvános könyvtári ellátás követelményeinek megfelelő könyvtári és információs igények kiszolgálását. Minden könyvtár részt vesz a Könyvtári Tanács, mint operatív irányító testület által meghatározott feladatok végrehajtásában, miközben minden könyvtár egyedi gyűjteményének, sajátos célcsoportjának megfelelően működik és nyújt szolgáltatásokat.</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lastRenderedPageBreak/>
        <w:t xml:space="preserve">2020-ban, Magyarországon első könyvtárként az EKSZ nyerte el a 3 évre szóló EFQM „Elkötelezettség a Kiválóságért” tanúsítványt (Comitted to Excellence Validation). </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 könyvtárak gyűjtőkörei lefedik az egyetemen oktatott diszciplínákat, a könyvtárak összességében biztosítják az állományhoz való hozzáférést helybeni és távhasználat útján.</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 közös integrált könyvtári rendszer az év végén 955 366 bibliográfiai és 1 502 355 példányrekordot tartalmazott. 2020-ban megújult az online katalógus: az ELTEfind keresővel most már nemcsak a könyvtári dokumentumok kereshetők, hanem az EDIT és az előfizetett adatbázisok tartalmai is.</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Az ELTE tartalomszolgáltató tudásközpontjaként az Egyetemi Digitális Intézményi Tudástár (EDIT) kialakításával a muzeális állomány, a szakdolgozatok, doktori disszertációk és az oktatók publikációinak digitalizálásával, a digitális tartalmak begyűjtésével támogatják a könyvtárak az egyetem tudományos működését és a hallgatói eredményességet (2020 végén a repozitórium több, mint 47 550 tételt tartalmazott). Az EKSZ közös projektben valósítja meg az egyetemi oktatók publikációs tevékenységének megjelenítését a Magyar Tudományos Művek Tárában (MTMT) és az EDIT-ben.</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Az egyetem tudományos működésének támogatójaként az EKSZ koordinálja az egyetem adatbázis-előfizetéseit, illetve ezzel kapcsolatban az OA publikálást is (2020-ban az EISZ-en keresztül 38 adatbázis, bruttó 251 977 906 Ft szerződési értékben került előfizetésre. További bruttó 40 537 530 Ft szolidaritási többletköltség jelentkezett az adatbázisportfólióra). Az elérhető adatbázisokat tartalmazó új gyűjtőoldal készült a közös portálon, ahol folyamatos a tájékoztatás a járványhelyzetben megváltozott könyvtári szolgáltatásokról is. </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 Siketek és Nagyothallók Országos Szövetségével (SINOSZ) együttműködve magyar nyelvű felirattal ellátott jelnyelvi videók készültek a koronavírus-járvány miatt átmenetileg bezárt könyvtárak aktuális és online elérhető szolgáltatásairól.</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Elérhetővé vált az EKSZ ingyenes online könyvtári kurzusa, a Könyvtári MOOC (Massive Open Online Course), melyen könyvtárhasználati ismereteken túl tanulási és olvasási technikákat sajátíthatnak el a tanulni vágyók.</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 távolléti oktatás bevezetése során nagy szükség volt az EKSZ tagkönyvtárainak együttműködésére, és a központilag biztosítható szolgáltatások összehangolásában és lebonyolításában az Egyetemi Könyvtár közreműködésére.</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 márciusban kialakult járványhelyzet miatt az </w:t>
      </w:r>
      <w:r w:rsidRPr="00742AAB">
        <w:rPr>
          <w:rFonts w:ascii="Times New Roman" w:eastAsia="Times New Roman" w:hAnsi="Times New Roman" w:cs="Times New Roman"/>
          <w:b/>
          <w:sz w:val="24"/>
          <w:szCs w:val="24"/>
        </w:rPr>
        <w:t>Egyetemi Könyvtár és Levéltár</w:t>
      </w:r>
      <w:r w:rsidRPr="00742AAB">
        <w:rPr>
          <w:rFonts w:ascii="Times New Roman" w:eastAsia="Times New Roman" w:hAnsi="Times New Roman" w:cs="Times New Roman"/>
          <w:sz w:val="24"/>
          <w:szCs w:val="24"/>
        </w:rPr>
        <w:t xml:space="preserve"> működését a mindenkori kormányzati és egyetemi intézkedésekhez kellett igazítani úgy, hogy a korlátozott lehetőségek maximális kihasználásával és új, online szolgáltatások bevezetésével továbbra is segítse az egyetemi oktatást és kutatást, biztosítsa az oktatók és hallgatók szakirodalommal való ellátását.</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Az EKL az ELTE összes könyvtára számára egységesen, központilag oldotta meg az integrált könyvtári rendszerben a kölcsönzések lejárati idejének meghosszabbítását, a késedelmi díjak </w:t>
      </w:r>
      <w:r w:rsidRPr="00742AAB">
        <w:rPr>
          <w:rFonts w:ascii="Times New Roman" w:eastAsia="Times New Roman" w:hAnsi="Times New Roman" w:cs="Times New Roman"/>
          <w:sz w:val="24"/>
          <w:szCs w:val="24"/>
        </w:rPr>
        <w:lastRenderedPageBreak/>
        <w:t>számolásának megállítását. Kari könyvtári feladatokat átvállalva ELTE szinten biztosította szeptemberig a könyvek átvételét és záróvizsgázó hallgatók számára a könyvtári tartozások rendezését, a könyvtári igazolások kiadását. A könyvek biztonságos visszavételéhez könyvbedobó szekrényt bérelt. Az elérhető online könyvtári szolgáltatások: kölcsönzések hosszabbítása, dokumentum-előjegyzés, emlékeztető kölcsönzés lejártakor, keresés a katalógusban és az adatbázisokban; elektronikus kérőlap (mely 2020-ban két kari könyvtárra is kiterjesztésre került), digitalizálás, chat-en és email-ben elérhető tájékoztatás. A saját fejlesztésű, virtuális olvasójegyként is funkcionáló webapplikáció (ELTE Könyvtár WebApp) segítségével az EKL megoldotta az online beiratkozást és tagsághosszabbítást ELTE polgárok részére, mely szolgáltatást a kari könyvtárak számára is kiterjesztette. Skype-on elérhető online tájékoztató szolgáltatás indult. Az EKL speciális böngészőt fejlesztett az ideiglenesen szabadon elérhetővé tett tankönyvek, jegyzetek autentikált elérésének biztosításához: a szolgáltatást a kari könyvtárak számára is biztosította.</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Megállapodás keretében az EKL ellátta a Gazdálkodástudományi Intézet (GTI) és a Pázmány Péter Katolikus Egyetem budapesti campusain tanuló hallgatóinak és oktatóinak könyvtári szolgáltatását is. </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Az EKL gyorsan és rugalmasan alkalmazkodott a mindenkori járványügyi helyzethez, s ennek köszönhetően a használati adatok a várakozásokhoz képest jobban alakultak. A bezárások miatt a személyes könyvtárhasználat közel harmadára esett vissza, a kölcsönzéseké viszont csak a felére. </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 </w:t>
      </w:r>
      <w:r w:rsidRPr="00742AAB">
        <w:rPr>
          <w:rFonts w:ascii="Times New Roman" w:eastAsia="Times New Roman" w:hAnsi="Times New Roman" w:cs="Times New Roman"/>
          <w:b/>
          <w:sz w:val="24"/>
          <w:szCs w:val="24"/>
        </w:rPr>
        <w:t>Levéltár</w:t>
      </w:r>
      <w:r w:rsidRPr="00742AAB">
        <w:rPr>
          <w:rFonts w:ascii="Times New Roman" w:eastAsia="Times New Roman" w:hAnsi="Times New Roman" w:cs="Times New Roman"/>
          <w:sz w:val="24"/>
          <w:szCs w:val="24"/>
        </w:rPr>
        <w:t xml:space="preserve"> összesen 420 ifm rendezését végezte el helyszínen, 541 ifm rendezését a Levéltárban. A Közgyűjteményi Digitalizálási Stratégia keretében folytatódott az egyetemi tanácsülési jegyzőkönyvek digitalizálása (62 226 oldal).</w:t>
      </w:r>
    </w:p>
    <w:p w:rsidR="00742AAB" w:rsidRPr="00742AAB" w:rsidRDefault="00742AAB" w:rsidP="00C03F01">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 xml:space="preserve">Az </w:t>
      </w:r>
      <w:r w:rsidRPr="00742AAB">
        <w:rPr>
          <w:rFonts w:ascii="Times New Roman" w:eastAsia="Times New Roman" w:hAnsi="Times New Roman" w:cs="Times New Roman"/>
          <w:b/>
          <w:sz w:val="24"/>
          <w:szCs w:val="24"/>
        </w:rPr>
        <w:t>ELTE Egyetemi Könyvtár és Levéltár Savaria Könyvtár és Levéltár (SKL)</w:t>
      </w:r>
      <w:r w:rsidRPr="00742AAB">
        <w:rPr>
          <w:rFonts w:ascii="Times New Roman" w:eastAsia="Times New Roman" w:hAnsi="Times New Roman" w:cs="Times New Roman"/>
          <w:sz w:val="24"/>
          <w:szCs w:val="24"/>
        </w:rPr>
        <w:t xml:space="preserve"> az EKL tagkönyvtáraként, a szombathelyi képzési helyen működő Berzsenyi Dániel Pedagógusképző Központ és a budapesti karokhoz tartozó intézetek/tanszékek oktatási, kutatási, tanulási igényeinek kiszolgálására, nyilvános könyvtárként működik. Pedagógiai szakkönyvtári funkciójából adódóan támogatja a régión belüli pedagógusok munkáját, szakmai segítséget nyújt a megye közoktatási könyvtárainak tevékenységéhez.</w:t>
      </w:r>
    </w:p>
    <w:p w:rsidR="00291122" w:rsidRDefault="00742AAB" w:rsidP="00291122">
      <w:pPr>
        <w:spacing w:before="60" w:after="60" w:line="360" w:lineRule="exact"/>
        <w:jc w:val="both"/>
        <w:rPr>
          <w:rFonts w:ascii="Times New Roman" w:eastAsia="Times New Roman" w:hAnsi="Times New Roman" w:cs="Times New Roman"/>
          <w:sz w:val="24"/>
          <w:szCs w:val="24"/>
        </w:rPr>
      </w:pPr>
      <w:r w:rsidRPr="00742AAB">
        <w:rPr>
          <w:rFonts w:ascii="Times New Roman" w:eastAsia="Times New Roman" w:hAnsi="Times New Roman" w:cs="Times New Roman"/>
          <w:sz w:val="24"/>
          <w:szCs w:val="24"/>
        </w:rPr>
        <w:t>A BDPK felkérésére, az SKL munkatársai 2020-ban is sokféle oktatási tevékenységet folytattak: tanító, magyar és könyvtár szakos hallgatók képzése, MTMT továbbképzések tartása, illetve az oktatók felkészítése a távolléti oktatás kialakításához. A Teams, Office 365, Moodle, Canvas szolgáltatások megismeréséhez oktatóvideók készültek és online miniképzések keretében támogatták a digitális kurzusok kialakítását. A könyvtár a munkatársak digitális kompetenciái révén hatékonyan részt vesz a tanulás és oktatás támogatásában, a digitális tartalmak létrehozásában és közvetítésében, repozitóriumok és országos adatbázisok építésében. A SEK Videotorium csatornája több mint 1180 felvétellel évi 80 ezres nézettséget ért el.</w:t>
      </w:r>
    </w:p>
    <w:p w:rsidR="00291122" w:rsidRDefault="00AD67D1" w:rsidP="00291122">
      <w:pPr>
        <w:spacing w:before="60" w:after="60" w:line="360" w:lineRule="exact"/>
        <w:jc w:val="both"/>
        <w:rPr>
          <w:rFonts w:ascii="Times New Roman" w:eastAsia="Times New Roman" w:hAnsi="Times New Roman" w:cs="Times New Roman"/>
          <w:sz w:val="24"/>
          <w:szCs w:val="24"/>
        </w:rPr>
      </w:pPr>
      <w:r w:rsidRPr="00D87F93">
        <w:rPr>
          <w:rFonts w:ascii="Times New Roman" w:hAnsi="Times New Roman" w:cs="Times New Roman"/>
          <w:b/>
          <w:sz w:val="24"/>
          <w:szCs w:val="24"/>
        </w:rPr>
        <w:lastRenderedPageBreak/>
        <w:t xml:space="preserve">I.6.2. </w:t>
      </w:r>
      <w:r w:rsidR="00997A96" w:rsidRPr="00D87F93">
        <w:rPr>
          <w:rFonts w:ascii="Times New Roman" w:hAnsi="Times New Roman" w:cs="Times New Roman"/>
          <w:b/>
          <w:sz w:val="24"/>
          <w:szCs w:val="24"/>
        </w:rPr>
        <w:t xml:space="preserve">ELTE Tanárképző Központ </w:t>
      </w:r>
    </w:p>
    <w:p w:rsidR="006D3F7B" w:rsidRDefault="00D87F93" w:rsidP="006D3F7B">
      <w:pPr>
        <w:spacing w:before="60" w:after="60" w:line="360" w:lineRule="exact"/>
        <w:jc w:val="both"/>
        <w:rPr>
          <w:rFonts w:ascii="Times New Roman" w:eastAsia="Times New Roman" w:hAnsi="Times New Roman" w:cs="Times New Roman"/>
          <w:sz w:val="24"/>
          <w:szCs w:val="24"/>
        </w:rPr>
      </w:pPr>
      <w:r w:rsidRPr="00D87F93">
        <w:rPr>
          <w:rFonts w:ascii="Times New Roman" w:hAnsi="Times New Roman" w:cs="Times New Roman"/>
          <w:sz w:val="24"/>
          <w:szCs w:val="24"/>
        </w:rPr>
        <w:t>Az ELTE Tanárképző Központban 2020-ban is folytatódtak a szakmai stratégiai feladatok ellátását és a hivatali munkavégzés hatékonyságának a növelését támogató munkálatok. A Tanárképző Központ a következő területeken végzett eredmén</w:t>
      </w:r>
      <w:r w:rsidR="006D3F7B">
        <w:rPr>
          <w:rFonts w:ascii="Times New Roman" w:hAnsi="Times New Roman" w:cs="Times New Roman"/>
          <w:sz w:val="24"/>
          <w:szCs w:val="24"/>
        </w:rPr>
        <w:t>yesen különböző tevékenységeket.</w:t>
      </w:r>
    </w:p>
    <w:p w:rsidR="00D87F93" w:rsidRPr="006D3F7B" w:rsidRDefault="00D87F93" w:rsidP="006D3F7B">
      <w:pPr>
        <w:spacing w:before="60" w:after="60" w:line="360" w:lineRule="exact"/>
        <w:jc w:val="both"/>
        <w:rPr>
          <w:rFonts w:ascii="Times New Roman" w:eastAsia="Times New Roman" w:hAnsi="Times New Roman" w:cs="Times New Roman"/>
          <w:sz w:val="24"/>
          <w:szCs w:val="24"/>
        </w:rPr>
      </w:pPr>
      <w:r w:rsidRPr="00AD662F">
        <w:rPr>
          <w:rFonts w:ascii="Times New Roman" w:hAnsi="Times New Roman" w:cs="Times New Roman"/>
          <w:b/>
          <w:sz w:val="24"/>
          <w:szCs w:val="24"/>
        </w:rPr>
        <w:t>Szakmai-stratégiai feladatok ellátása</w:t>
      </w:r>
      <w:r w:rsidRPr="00D87F93">
        <w:rPr>
          <w:rFonts w:ascii="Times New Roman" w:hAnsi="Times New Roman" w:cs="Times New Roman"/>
          <w:sz w:val="24"/>
          <w:szCs w:val="24"/>
        </w:rPr>
        <w:t>: a tanárképzéssel kapcsolatos szakmai tervezési és koordináló feladatok ellátása; oktatói és hallgatói szakmai programok, műhelyek szervezése az Egyetemen belül és együttműködve több hazai és külhoni társegyetemmel; közreműködés az intézményi akkreditációs folyamatban; pedagógus-továbbképzések szervezése; szakmai tananyagok kidolgozásának koordinálása; a köznevelési gyakorlóintézmények szakmai vizsgálatának koordinálása; a minőségfejlesztést támogató szakmai elvek és eljárásrendek kidolgozása, bővítése, ehhez kapcsolódó kérdőíves vizsgálatok szervezése a TKK Szakmai Kollégiuma keretében; a pedagógusképzési egyetemi szakmai testületek munkájának támogatása; közreműködés országos konzorciumi bizottságokban; a szakmai kapcsolatok és a kommunikáció erősítése az oktatókkal, a hallgatókkal, részben a társegyetemek és a külhoni egyetemek munkatársaival, a Fenntartó intézményekkel.</w:t>
      </w:r>
    </w:p>
    <w:p w:rsidR="00845151" w:rsidRPr="00BA4AC9" w:rsidRDefault="00D87F93" w:rsidP="00BA4AC9">
      <w:pPr>
        <w:keepNext/>
        <w:keepLines/>
        <w:spacing w:before="60" w:after="240" w:line="360" w:lineRule="exact"/>
        <w:jc w:val="both"/>
        <w:outlineLvl w:val="1"/>
        <w:rPr>
          <w:rFonts w:ascii="Times New Roman" w:hAnsi="Times New Roman" w:cs="Times New Roman"/>
          <w:sz w:val="24"/>
          <w:szCs w:val="24"/>
        </w:rPr>
      </w:pPr>
      <w:r w:rsidRPr="00AD662F">
        <w:rPr>
          <w:rFonts w:ascii="Times New Roman" w:hAnsi="Times New Roman" w:cs="Times New Roman"/>
          <w:b/>
          <w:sz w:val="24"/>
          <w:szCs w:val="24"/>
        </w:rPr>
        <w:t>Komplex szakmai és hivatali, szervezési feladatok ellátása</w:t>
      </w:r>
      <w:r w:rsidRPr="00D87F93">
        <w:rPr>
          <w:rFonts w:ascii="Times New Roman" w:hAnsi="Times New Roman" w:cs="Times New Roman"/>
          <w:sz w:val="24"/>
          <w:szCs w:val="24"/>
        </w:rPr>
        <w:t>: a TKK működésével kapcsolatos adminisztratív és emberi erőforrás-fejlesztési feladatok ellátása, további munkafolyamatok digitalizációja; a rekrutációval kapcsolatos programok tervezése és megvalósítása; a TKK-t érintő tanulmányi és a tanárképzési felvételi ügyekkel, az iskolai gyakorlatokkal, a partneriskolai hálózat bővítésével, a gyakorlatok közreműködői szerződéseinek megkötésével és a szakzárás koordinálásával kapcsolatos feladatok ellátása. A TKK sikeresen szervezte a Tanítsunk Magyarországért! programot az ELTE minden karáról érkező hallgatók, az öt karon tanító oktatók és a partneriskolák részvételével.</w:t>
      </w:r>
    </w:p>
    <w:p w:rsidR="00AD662F" w:rsidRPr="00AD662F" w:rsidRDefault="00AD67D1" w:rsidP="00C03F01">
      <w:pPr>
        <w:autoSpaceDE w:val="0"/>
        <w:autoSpaceDN w:val="0"/>
        <w:adjustRightInd w:val="0"/>
        <w:spacing w:before="60" w:after="60" w:line="360" w:lineRule="exact"/>
        <w:jc w:val="both"/>
        <w:rPr>
          <w:rFonts w:ascii="Times New Roman" w:hAnsi="Times New Roman" w:cs="Times New Roman"/>
          <w:b/>
          <w:color w:val="0D0D0D" w:themeColor="text1" w:themeTint="F2"/>
          <w:sz w:val="24"/>
          <w:szCs w:val="24"/>
        </w:rPr>
      </w:pPr>
      <w:r w:rsidRPr="00BF7A72">
        <w:rPr>
          <w:rFonts w:ascii="Times New Roman" w:hAnsi="Times New Roman" w:cs="Times New Roman"/>
          <w:b/>
          <w:color w:val="0D0D0D" w:themeColor="text1" w:themeTint="F2"/>
          <w:sz w:val="24"/>
          <w:szCs w:val="24"/>
        </w:rPr>
        <w:t xml:space="preserve">I.6.3. </w:t>
      </w:r>
      <w:r w:rsidR="00127D38" w:rsidRPr="00BF7A72">
        <w:rPr>
          <w:rFonts w:ascii="Times New Roman" w:hAnsi="Times New Roman" w:cs="Times New Roman"/>
          <w:b/>
          <w:color w:val="0D0D0D" w:themeColor="text1" w:themeTint="F2"/>
          <w:sz w:val="24"/>
          <w:szCs w:val="24"/>
        </w:rPr>
        <w:t>Innovációs Központ</w:t>
      </w:r>
      <w:r w:rsidR="00A26A1F" w:rsidRPr="00BF7A72">
        <w:rPr>
          <w:rFonts w:ascii="Times New Roman" w:hAnsi="Times New Roman" w:cs="Times New Roman"/>
          <w:b/>
          <w:color w:val="0D0D0D" w:themeColor="text1" w:themeTint="F2"/>
          <w:sz w:val="24"/>
          <w:szCs w:val="24"/>
        </w:rPr>
        <w:t xml:space="preserve"> </w:t>
      </w:r>
    </w:p>
    <w:p w:rsidR="00BF7A72" w:rsidRPr="00BF7A72" w:rsidRDefault="00BF7A72" w:rsidP="00C03F01">
      <w:pPr>
        <w:autoSpaceDE w:val="0"/>
        <w:autoSpaceDN w:val="0"/>
        <w:adjustRightInd w:val="0"/>
        <w:spacing w:before="60" w:after="6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A 2020-as év során az Innovációs Központ különös hangsúlyt fektetett az ipari kapcsolatok kiszélesítésére, az együttműködések elmélyítésére. Ez az egyik leghangsúlyosabb eleme az Egyetemi Innovációs Ökoszisztéma pályázatnak is, melyet a COVID-19 pandémiás helyzet ellenére is sikerült szem előtt tartani.</w:t>
      </w:r>
    </w:p>
    <w:p w:rsidR="00BF7A72" w:rsidRPr="00BF7A72" w:rsidRDefault="00BF7A72" w:rsidP="00C03F01">
      <w:pPr>
        <w:autoSpaceDE w:val="0"/>
        <w:autoSpaceDN w:val="0"/>
        <w:adjustRightInd w:val="0"/>
        <w:spacing w:before="60" w:after="6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 xml:space="preserve">Jó ütemben halad az egyetemi kompetenciák összegyűjtése, illetve kiadványba foglalása annak érdekében, hogy ezeket a kompetenciákat a közeli jövőben ki tudjuk ajánlani hasznosításra. </w:t>
      </w:r>
    </w:p>
    <w:p w:rsidR="00BF7A72" w:rsidRPr="00BF7A72" w:rsidRDefault="00BF7A72" w:rsidP="00C03F01">
      <w:pPr>
        <w:autoSpaceDE w:val="0"/>
        <w:autoSpaceDN w:val="0"/>
        <w:adjustRightInd w:val="0"/>
        <w:spacing w:before="60" w:after="6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 xml:space="preserve">Az Innovációs Központ kulcsszerepet játszott a Társadalmi Innovációs Nemzeti Laboratórium (TINLAB) felállításában, beindításban. A labor keretében több tematikus KFI fórum, szakmai műhely jön majd létre, amelyeknek a célja valóban újszerű megoldások kidolgozása társadalmi problémákra és a technológiai változásokhoz kapcsolódó társadalmi igényekre. A </w:t>
      </w:r>
      <w:r w:rsidRPr="00BF7A72">
        <w:rPr>
          <w:rFonts w:ascii="Times New Roman" w:hAnsi="Times New Roman" w:cs="Times New Roman"/>
          <w:color w:val="0D0D0D" w:themeColor="text1" w:themeTint="F2"/>
          <w:sz w:val="24"/>
          <w:szCs w:val="24"/>
        </w:rPr>
        <w:lastRenderedPageBreak/>
        <w:t>TINLAB munkájába azon karok kerülnek bevonásra, amelyek eddig kisebb szerepet tudtak csak játszani az Egyetem innovációs tevékenységében</w:t>
      </w:r>
    </w:p>
    <w:p w:rsidR="00BF7A72" w:rsidRPr="00BF7A72" w:rsidRDefault="00BF7A72" w:rsidP="00C03F01">
      <w:pPr>
        <w:autoSpaceDE w:val="0"/>
        <w:autoSpaceDN w:val="0"/>
        <w:adjustRightInd w:val="0"/>
        <w:spacing w:before="60" w:after="6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Összesen 5 Iparjog pályázat került benyújtásra (3 hazai és 2 nemzetközi PCT), mely jól jelzi, hogy a találmányhasznosítás területén is aktív munka folyik. A Találmányi testület az év során egy levélszavazást, és két on-line ülést tartott, mely során 11 találmányt, és 2 know-how-t vett birtokba.</w:t>
      </w:r>
    </w:p>
    <w:p w:rsidR="00BF7A72" w:rsidRPr="00BF7A72" w:rsidRDefault="00BF7A72" w:rsidP="00C03F01">
      <w:pPr>
        <w:autoSpaceDE w:val="0"/>
        <w:autoSpaceDN w:val="0"/>
        <w:adjustRightInd w:val="0"/>
        <w:spacing w:before="60" w:after="6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A pandémiás helyzet ellenére megrendezésre került az on-line térben az Innovatív hallgatói ötletpályázat, az Innovációs nap és az Innovatív hallgatói ötletpályázat.</w:t>
      </w:r>
    </w:p>
    <w:p w:rsidR="00252EE6" w:rsidRDefault="00BF7A72" w:rsidP="00BA4AC9">
      <w:pPr>
        <w:autoSpaceDE w:val="0"/>
        <w:autoSpaceDN w:val="0"/>
        <w:adjustRightInd w:val="0"/>
        <w:spacing w:before="60" w:after="240" w:line="360" w:lineRule="exact"/>
        <w:jc w:val="both"/>
        <w:rPr>
          <w:rFonts w:ascii="Times New Roman" w:hAnsi="Times New Roman" w:cs="Times New Roman"/>
          <w:color w:val="0D0D0D" w:themeColor="text1" w:themeTint="F2"/>
          <w:sz w:val="24"/>
          <w:szCs w:val="24"/>
        </w:rPr>
      </w:pPr>
      <w:r w:rsidRPr="00BF7A72">
        <w:rPr>
          <w:rFonts w:ascii="Times New Roman" w:hAnsi="Times New Roman" w:cs="Times New Roman"/>
          <w:color w:val="0D0D0D" w:themeColor="text1" w:themeTint="F2"/>
          <w:sz w:val="24"/>
          <w:szCs w:val="24"/>
        </w:rPr>
        <w:t>Először indítottunk Szerzői jogi alapismeretek témakörben belső képzést az Egyetem polgárainak.</w:t>
      </w:r>
    </w:p>
    <w:bookmarkEnd w:id="0"/>
    <w:bookmarkEnd w:id="1"/>
    <w:p w:rsidR="000045EC" w:rsidRPr="00852F1D" w:rsidRDefault="00D0508C" w:rsidP="00C03F01">
      <w:pPr>
        <w:pStyle w:val="Cmsor2"/>
        <w:numPr>
          <w:ilvl w:val="0"/>
          <w:numId w:val="0"/>
        </w:numPr>
        <w:spacing w:line="360" w:lineRule="exact"/>
        <w:rPr>
          <w:sz w:val="24"/>
          <w:szCs w:val="24"/>
          <w:lang w:eastAsia="hu-HU"/>
        </w:rPr>
      </w:pPr>
      <w:r w:rsidRPr="00873BC7">
        <w:rPr>
          <w:b/>
          <w:sz w:val="24"/>
          <w:szCs w:val="24"/>
          <w:lang w:eastAsia="hu-HU"/>
        </w:rPr>
        <w:t xml:space="preserve">I.7. </w:t>
      </w:r>
      <w:r w:rsidR="000045EC" w:rsidRPr="00873BC7">
        <w:rPr>
          <w:b/>
          <w:sz w:val="24"/>
          <w:szCs w:val="24"/>
          <w:lang w:eastAsia="hu-HU"/>
        </w:rPr>
        <w:t>Köznevelési feladatokat ellátó gyakorló intézmények</w:t>
      </w:r>
    </w:p>
    <w:p w:rsidR="00845151" w:rsidRPr="00873BC7" w:rsidRDefault="00873BC7" w:rsidP="00BA4AC9">
      <w:pPr>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Az ELTE tíz - köznevelési feladatot is ellátó - gyakorló intézménye továbbra is kiemelkedő színvonalon látja el szakmai feladatait, amit 4 középiskolánk (Apáczai, Radnóti, Trefort, Bolyai) esetén a felvételi-érettségi eredmények, a jelentkezettek/felvettek aránya, a kompetenciamérések, valamint a tanulmányi versenyeken nyújtott kiemelkedő teljesítmények alapján készített országos rangsorok</w:t>
      </w:r>
      <w:r w:rsidR="00845151">
        <w:rPr>
          <w:rFonts w:ascii="Times New Roman" w:hAnsi="Times New Roman" w:cs="Times New Roman"/>
          <w:sz w:val="24"/>
          <w:szCs w:val="24"/>
        </w:rPr>
        <w:t xml:space="preserve">ban elfoglalt helyük is jelez. </w:t>
      </w:r>
    </w:p>
    <w:p w:rsidR="00084B77"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I.7.1. </w:t>
      </w:r>
      <w:r w:rsidR="000045EC" w:rsidRPr="00852F1D">
        <w:rPr>
          <w:rFonts w:ascii="Times New Roman" w:hAnsi="Times New Roman" w:cs="Times New Roman"/>
          <w:b/>
          <w:sz w:val="24"/>
          <w:szCs w:val="24"/>
        </w:rPr>
        <w:t xml:space="preserve">ELTE Apáczai Csere János Gyakorlógimnázium és Kollégium </w:t>
      </w:r>
    </w:p>
    <w:p w:rsidR="00873BC7" w:rsidRPr="00873BC7" w:rsidRDefault="00873BC7" w:rsidP="00BA4AC9">
      <w:pPr>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 gimnázium 2020-ban is kiemelkedően teljesítette feladatait. Az iskola őrzi a különféle sajtókiadványokban közzétett középiskolai rangsorokban elért hagyományosan jó helyezését. Az intézmény szakmai eredményeit alátámasztják az érettségi vizsgák és a tanulmányi versenyek eredményei mellett a felsőoktatási felvételi arányok és az országos kompetenciamérések magas hozzáadott értékét kifejező adatsorai is. A szakmai feladatellátás szempontjából az iskola igyekszik minden téren megfelelni a fenntartói és a partneri (szülői, felsőoktatási) elvárásoknak. Az iskola iránti </w:t>
      </w:r>
      <w:r w:rsidR="006D3F7B">
        <w:rPr>
          <w:rFonts w:ascii="Times New Roman" w:hAnsi="Times New Roman" w:cs="Times New Roman"/>
          <w:sz w:val="24"/>
          <w:szCs w:val="24"/>
        </w:rPr>
        <w:t xml:space="preserve">érdeklődés töretlenül magas, a </w:t>
      </w:r>
      <w:r w:rsidRPr="00873BC7">
        <w:rPr>
          <w:rFonts w:ascii="Times New Roman" w:hAnsi="Times New Roman" w:cs="Times New Roman"/>
          <w:sz w:val="24"/>
          <w:szCs w:val="24"/>
        </w:rPr>
        <w:t>kapacitások kihasználtsága nagy, a törvényi maximumnak megfelelő osztálylétszámok jellemzőek.</w:t>
      </w:r>
    </w:p>
    <w:p w:rsidR="000045EC"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I.7.2. </w:t>
      </w:r>
      <w:r w:rsidR="000045EC" w:rsidRPr="00852F1D">
        <w:rPr>
          <w:rFonts w:ascii="Times New Roman" w:hAnsi="Times New Roman" w:cs="Times New Roman"/>
          <w:b/>
          <w:sz w:val="24"/>
          <w:szCs w:val="24"/>
        </w:rPr>
        <w:t xml:space="preserve">ELTE Radnóti Miklós Gyakorló Általános Iskola és Gyakorló Gimnázium </w:t>
      </w:r>
    </w:p>
    <w:p w:rsidR="00873BC7" w:rsidRPr="00873BC7" w:rsidRDefault="00873BC7" w:rsidP="00C03F01">
      <w:pPr>
        <w:spacing w:before="60"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iskola tanulmányi átlaga az előző tanévhez képest lényegében nem változott, rendkívül magas, nagyon jól teljesítenek a diákok, eredményes az oktatás. </w:t>
      </w:r>
    </w:p>
    <w:p w:rsidR="00873BC7" w:rsidRPr="00873BC7" w:rsidRDefault="00873BC7" w:rsidP="00C03F01">
      <w:pPr>
        <w:spacing w:before="60"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A Radnóti a HVG 2020. őszén nyilvánosságra hozott rangsorában az 1. helyen végzett a középiskolák között.</w:t>
      </w:r>
    </w:p>
    <w:p w:rsidR="00873BC7" w:rsidRPr="00BA4AC9" w:rsidRDefault="00873BC7" w:rsidP="00BA4AC9">
      <w:pPr>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iskola továbbra is nagyon népszerű a jelentkezők körében: mind az alsó tagozatra, mind a gimnáziumi képzésre 4-5-szörös a túljelentkezés. Az intézmény megújította, racionalizálta a belső vizsgarendszerét. A tanulmányi projektek közül megvalósult a 11. évfolyam egyéni projekt program megújítása, a tanári és tanulói felkészítés támogatásának kidolgozása és </w:t>
      </w:r>
      <w:r w:rsidRPr="00873BC7">
        <w:rPr>
          <w:rFonts w:ascii="Times New Roman" w:hAnsi="Times New Roman" w:cs="Times New Roman"/>
          <w:sz w:val="24"/>
          <w:szCs w:val="24"/>
        </w:rPr>
        <w:lastRenderedPageBreak/>
        <w:t>bevezetése. Megtörtént az új NAT-hoz igazodó helyi tanterv felülvizsgálata és átdolgozása, bevezetés</w:t>
      </w:r>
      <w:r w:rsidR="00BA4AC9">
        <w:rPr>
          <w:rFonts w:ascii="Times New Roman" w:hAnsi="Times New Roman" w:cs="Times New Roman"/>
          <w:sz w:val="24"/>
          <w:szCs w:val="24"/>
        </w:rPr>
        <w:t>e az 1. és 5. és 7. évfolyamon.</w:t>
      </w:r>
    </w:p>
    <w:p w:rsidR="000045EC"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I.7.3. </w:t>
      </w:r>
      <w:r w:rsidR="000045EC" w:rsidRPr="00852F1D">
        <w:rPr>
          <w:rFonts w:ascii="Times New Roman" w:hAnsi="Times New Roman" w:cs="Times New Roman"/>
          <w:b/>
          <w:sz w:val="24"/>
          <w:szCs w:val="24"/>
        </w:rPr>
        <w:t>ELTE Trefort Ágoston Gyakorló Gimnázium</w:t>
      </w:r>
    </w:p>
    <w:p w:rsidR="00873BC7" w:rsidRPr="00873BC7" w:rsidRDefault="00873BC7" w:rsidP="00C03F01">
      <w:pPr>
        <w:tabs>
          <w:tab w:val="left" w:pos="567"/>
        </w:tabs>
        <w:spacing w:before="60"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A Gimnázium az ország egyik legrangosabb nevelő és oktató intézménye. A majdnem százötven éves intézmény a XX. század oktatásügyi változásai közepette mindig is a „Minta” tudott maradni, ahol a stabil értékrend, a hagyományok tisztelete magas szintű tudással és a megújulás képességével ötvöződött.</w:t>
      </w:r>
    </w:p>
    <w:p w:rsidR="00873BC7" w:rsidRPr="00873BC7" w:rsidRDefault="00873BC7" w:rsidP="00C03F01">
      <w:pPr>
        <w:tabs>
          <w:tab w:val="left" w:pos="567"/>
        </w:tabs>
        <w:spacing w:before="60"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Az Intézmény 2020-ban is megjelent középiskolai rangsorokban (HVG, illetve Nők Lapja: évek óta az 1-10. helyen) kiemelkedően szerepelt, köszönhető ez az iskolában folyó magas szintű szakmai munkának. Az Iskolánk iránti érdeklődés folyamatosan növekszik, a 2020/21-es tanév felvételi eljárására nyolcszoros túljelentkezés volt.</w:t>
      </w:r>
    </w:p>
    <w:p w:rsidR="00873BC7" w:rsidRPr="00BA4AC9" w:rsidRDefault="00873BC7" w:rsidP="00BA4AC9">
      <w:pPr>
        <w:tabs>
          <w:tab w:val="left" w:pos="567"/>
        </w:tabs>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A szaktanárok kiváló munkájának köszönhetően az iskola diákjai 2020-ban kiemelkedő eredményeket értek el a hazai és nemzetközi versenyeken (diákok 1. helyezést értek el az angol, a francia és a filozófia OKTV-n, s megnyerték a Teentech Awards nemzetközi programozási versenyt is), az emelt szintű érettségi vizsgákon, valamint</w:t>
      </w:r>
      <w:r w:rsidR="00291122">
        <w:rPr>
          <w:rFonts w:ascii="Times New Roman" w:hAnsi="Times New Roman" w:cs="Times New Roman"/>
          <w:sz w:val="24"/>
          <w:szCs w:val="24"/>
        </w:rPr>
        <w:t xml:space="preserve"> a felsőoktatási felvételiken. </w:t>
      </w:r>
      <w:r w:rsidRPr="00873BC7">
        <w:rPr>
          <w:rFonts w:ascii="Times New Roman" w:hAnsi="Times New Roman" w:cs="Times New Roman"/>
          <w:sz w:val="24"/>
          <w:szCs w:val="24"/>
        </w:rPr>
        <w:t>Az Iskola részt vett az új osztatlan tanárképzés iskolai gyakorlatának kidolgozásban, a az ÉGIG (Élenjáró Gimnáziumok Igazgatói Grémiuma), a GOSZ (Gimnáziumok Országos Szövetsége) és a Gyakorlóis</w:t>
      </w:r>
      <w:r w:rsidR="00BA4AC9">
        <w:rPr>
          <w:rFonts w:ascii="Times New Roman" w:hAnsi="Times New Roman" w:cs="Times New Roman"/>
          <w:sz w:val="24"/>
          <w:szCs w:val="24"/>
        </w:rPr>
        <w:t>kolák Szövetségének munkájában.</w:t>
      </w:r>
    </w:p>
    <w:p w:rsidR="000045EC" w:rsidRPr="00852F1D" w:rsidRDefault="00D0508C" w:rsidP="00C03F01">
      <w:pPr>
        <w:tabs>
          <w:tab w:val="left" w:pos="567"/>
        </w:tabs>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I.7.4. </w:t>
      </w:r>
      <w:r w:rsidR="000045EC" w:rsidRPr="00852F1D">
        <w:rPr>
          <w:rFonts w:ascii="Times New Roman" w:hAnsi="Times New Roman" w:cs="Times New Roman"/>
          <w:b/>
          <w:sz w:val="24"/>
          <w:szCs w:val="24"/>
        </w:rPr>
        <w:t xml:space="preserve">ELTE Gyertyánffy István Gyakorló Általános Iskola </w:t>
      </w:r>
    </w:p>
    <w:p w:rsidR="00873BC7" w:rsidRPr="00873BC7" w:rsidRDefault="00873BC7" w:rsidP="00C03F01">
      <w:pPr>
        <w:spacing w:before="60"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Iskola meghatározó felsőoktatási feladata a Tanító és Óvóképző Kar (TÓK) gyakorlati képzésének támogatása, biztosítása. Az országos kompetencia- és idegen nyelvi mérés alapján az intézmény országos szinten is kiemelkedő teljesítményt mutat, továbbra is 7. az országos listán. </w:t>
      </w:r>
    </w:p>
    <w:p w:rsidR="00291122" w:rsidRPr="00BA4AC9" w:rsidRDefault="00873BC7" w:rsidP="00BA4AC9">
      <w:pPr>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Az intézmény 1-6. évfolyamig 7 féle képzési formában biztosít gyakorlatot a tanító szakos nappali és levelező tagozatos hallgatóknak 1005 hallgatói eset keretében. 17 fő vezetőtanár, 6 fő vezetőpedagógusi feladatot ellátó és 8 napközis tanító biztosították felső</w:t>
      </w:r>
      <w:r w:rsidR="00291122">
        <w:rPr>
          <w:rFonts w:ascii="Times New Roman" w:hAnsi="Times New Roman" w:cs="Times New Roman"/>
          <w:sz w:val="24"/>
          <w:szCs w:val="24"/>
        </w:rPr>
        <w:t xml:space="preserve">oktatási feladataik ellátását. </w:t>
      </w:r>
      <w:r w:rsidRPr="00873BC7">
        <w:rPr>
          <w:rFonts w:ascii="Times New Roman" w:hAnsi="Times New Roman" w:cs="Times New Roman"/>
          <w:sz w:val="24"/>
          <w:szCs w:val="24"/>
        </w:rPr>
        <w:t>A gyakorlóiskola pedagógusai aktívan közreműködnek a TÓK által szervezett konferenciákon, továbbképzéseken, kutatómunkákban, projektekben. Az Intézmény társintézményként adott helyet a UKids nemzetközi videokonferenciájának. Az iskola kapcsolatot tart fenn a Plant for the Plan</w:t>
      </w:r>
      <w:r w:rsidR="00BA4AC9">
        <w:rPr>
          <w:rFonts w:ascii="Times New Roman" w:hAnsi="Times New Roman" w:cs="Times New Roman"/>
          <w:sz w:val="24"/>
          <w:szCs w:val="24"/>
        </w:rPr>
        <w:t>et nemzetközi kezdeményezéssel.</w:t>
      </w:r>
    </w:p>
    <w:p w:rsidR="00873BC7"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I.7.5.</w:t>
      </w:r>
      <w:r w:rsidR="000045EC" w:rsidRPr="00852F1D">
        <w:rPr>
          <w:rFonts w:ascii="Times New Roman" w:hAnsi="Times New Roman" w:cs="Times New Roman"/>
          <w:b/>
          <w:sz w:val="24"/>
          <w:szCs w:val="24"/>
        </w:rPr>
        <w:t>ELTE Gyakorló Óvoda</w:t>
      </w:r>
    </w:p>
    <w:p w:rsidR="00873BC7" w:rsidRPr="00873BC7" w:rsidRDefault="00873BC7" w:rsidP="00C03F01">
      <w:pPr>
        <w:spacing w:before="60" w:after="60" w:line="360" w:lineRule="exact"/>
        <w:jc w:val="both"/>
        <w:rPr>
          <w:rFonts w:ascii="Times New Roman" w:hAnsi="Times New Roman" w:cs="Times New Roman"/>
          <w:b/>
          <w:sz w:val="24"/>
          <w:szCs w:val="24"/>
        </w:rPr>
      </w:pPr>
      <w:r w:rsidRPr="00873BC7">
        <w:rPr>
          <w:rFonts w:ascii="Times New Roman" w:eastAsia="Calibri" w:hAnsi="Times New Roman" w:cs="Times New Roman"/>
          <w:sz w:val="24"/>
          <w:szCs w:val="24"/>
        </w:rPr>
        <w:t xml:space="preserve">Az intézmény köznevelési feladata az óvodáskorú ép, és érzékszervi fejlődési zavarral (nagyothalló) és beszédfogyatékossággal küzdő gyerekek integrált nevelése, pedagógusképzési feladatait pedig a TÓK képzési struktúrájához igazítva folytatta. </w:t>
      </w:r>
    </w:p>
    <w:p w:rsidR="00873BC7" w:rsidRPr="00873BC7" w:rsidRDefault="00873BC7" w:rsidP="00C03F01">
      <w:pPr>
        <w:spacing w:before="60" w:after="60" w:line="360" w:lineRule="exact"/>
        <w:contextualSpacing/>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 xml:space="preserve">A magas szakmai színvonalú munka alapján a szülők körében nagyon népszerű, keresett 12. kerületi intézmény 4 gyermek / képzési csoportja 24 – 25 fővel, a Köznevelésről szóló </w:t>
      </w:r>
      <w:r w:rsidRPr="00873BC7">
        <w:rPr>
          <w:rFonts w:ascii="Times New Roman" w:eastAsia="Calibri" w:hAnsi="Times New Roman" w:cs="Times New Roman"/>
          <w:sz w:val="24"/>
          <w:szCs w:val="24"/>
        </w:rPr>
        <w:lastRenderedPageBreak/>
        <w:t>törvény által engedélyezett maximális csoportlétszámokkal működött ebben a nevelési évben is. Jelenleg két SNI-s gyermeket integrál az óvoda.</w:t>
      </w:r>
    </w:p>
    <w:p w:rsidR="00873BC7" w:rsidRPr="00BA4AC9" w:rsidRDefault="00873BC7" w:rsidP="00BA4AC9">
      <w:pPr>
        <w:spacing w:before="60" w:line="360" w:lineRule="exact"/>
        <w:contextualSpacing/>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Az intézményben többféle gyakorlati képzés folyt: a TÓK óvodapedagógus szak nappali-, és levelező tagozatos hallgatói közül 160 fő számára, míg a tanítós szak hallgatói közül 86 fő számára biztosított gyakorlati képzési helyet. Ezen kívül egyéni/eseti megkeresés alapján fogadtunk Erasmusos hallgatókat is, valamint érdeklődő külföldi látogatókat is. Gyakorlati képzés mind a 4 gyermekcsoportban zajlott, így valamennyi pedagógus elláto</w:t>
      </w:r>
      <w:r w:rsidR="00BA4AC9">
        <w:rPr>
          <w:rFonts w:ascii="Times New Roman" w:eastAsia="Calibri" w:hAnsi="Times New Roman" w:cs="Times New Roman"/>
          <w:sz w:val="24"/>
          <w:szCs w:val="24"/>
        </w:rPr>
        <w:t>tt vezetőtanári feladatokat is.</w:t>
      </w:r>
    </w:p>
    <w:p w:rsidR="000045EC" w:rsidRPr="00852F1D" w:rsidRDefault="00D0508C" w:rsidP="00C03F01">
      <w:pPr>
        <w:spacing w:before="60" w:after="60" w:line="360" w:lineRule="exact"/>
        <w:contextualSpacing/>
        <w:jc w:val="both"/>
        <w:rPr>
          <w:rFonts w:ascii="Times New Roman" w:eastAsia="Calibri" w:hAnsi="Times New Roman" w:cs="Times New Roman"/>
          <w:b/>
          <w:sz w:val="24"/>
          <w:szCs w:val="24"/>
        </w:rPr>
      </w:pPr>
      <w:r w:rsidRPr="00852F1D">
        <w:rPr>
          <w:rFonts w:ascii="Times New Roman" w:eastAsia="Calibri" w:hAnsi="Times New Roman" w:cs="Times New Roman"/>
          <w:b/>
          <w:sz w:val="24"/>
          <w:szCs w:val="24"/>
        </w:rPr>
        <w:t xml:space="preserve">I.7.6. </w:t>
      </w:r>
      <w:r w:rsidR="000045EC" w:rsidRPr="00852F1D">
        <w:rPr>
          <w:rFonts w:ascii="Times New Roman" w:eastAsia="Calibri" w:hAnsi="Times New Roman" w:cs="Times New Roman"/>
          <w:b/>
          <w:sz w:val="24"/>
          <w:szCs w:val="24"/>
        </w:rPr>
        <w:t>ELTE Bárczi Gusztáv Gyakorló Általános Iskola</w:t>
      </w:r>
    </w:p>
    <w:p w:rsidR="00873BC7" w:rsidRPr="00873BC7" w:rsidRDefault="00873BC7" w:rsidP="00C03F01">
      <w:pPr>
        <w:spacing w:before="60" w:after="60" w:line="360" w:lineRule="exact"/>
        <w:contextualSpacing/>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Az intézményben a beszédzavarral küzdő</w:t>
      </w:r>
      <w:r w:rsidR="00BA4AC9">
        <w:rPr>
          <w:rFonts w:ascii="Times New Roman" w:eastAsia="Calibri" w:hAnsi="Times New Roman" w:cs="Times New Roman"/>
          <w:sz w:val="24"/>
          <w:szCs w:val="24"/>
        </w:rPr>
        <w:t>-</w:t>
      </w:r>
      <w:r w:rsidRPr="00873BC7">
        <w:rPr>
          <w:rFonts w:ascii="Times New Roman" w:eastAsia="Calibri" w:hAnsi="Times New Roman" w:cs="Times New Roman"/>
          <w:sz w:val="24"/>
          <w:szCs w:val="24"/>
        </w:rPr>
        <w:t xml:space="preserve"> </w:t>
      </w:r>
      <w:r w:rsidR="00BA4AC9">
        <w:rPr>
          <w:rFonts w:ascii="Times New Roman" w:eastAsia="Calibri" w:hAnsi="Times New Roman" w:cs="Times New Roman"/>
          <w:sz w:val="24"/>
          <w:szCs w:val="24"/>
        </w:rPr>
        <w:t>és a tanulásban</w:t>
      </w:r>
      <w:r w:rsidRPr="00873BC7">
        <w:rPr>
          <w:rFonts w:ascii="Times New Roman" w:eastAsia="Calibri" w:hAnsi="Times New Roman" w:cs="Times New Roman"/>
          <w:sz w:val="24"/>
          <w:szCs w:val="24"/>
        </w:rPr>
        <w:t xml:space="preserve"> akadályozott tanulóknak az oktató-nevelőmunkája valósul meg. Az iskola alapfeladata a sajátos nevelési igényű tanulók iskola ellátása mellett kiegészül az ELTE gyógypedagógus hallgatóinak gyakorlati képzésével is.</w:t>
      </w:r>
    </w:p>
    <w:p w:rsidR="00BA4AC9" w:rsidRPr="00BA4AC9" w:rsidRDefault="00873BC7" w:rsidP="00BA4AC9">
      <w:pPr>
        <w:spacing w:before="60" w:line="360" w:lineRule="exact"/>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Az intézmény tanulólétszáma a 2020-as évben 152 fő volt, az oktatás 12 logopédiai és 4 tanulásban akadályozott osztályban történik. A szülők visszajelzései pozitívak és szívesen választják az Iskolát, mert a sajátos nevelési igényű tanulók egyénre szabott fejlesztése barátságos légkörben, biztonságos környezetben, kis létszámú osztályokban, szakkörök, fejlesztő foglalkozások segítségével történik. Az intézmény nagy hangsúlyt fektet a szakköri munka megvalósítására (foci, tartásjavító torna) és a művészetek (énekkar, furulya, képzőművészet, néptánc, társastánc, mese) területei mellett fejlesztő foglalkozásokat (matematika, dadogás terápia, artikulációs fejlesztés) is magukba foglalnak. A nevelő-oktatómunka fontos és sikeres részét képezi továbbra is az iskolán kívüli programok szervezése: múzeumlátogatások, színház- és koncertlátogatások, bábelőadások, kirándulások, és</w:t>
      </w:r>
      <w:r w:rsidR="00BA4AC9">
        <w:rPr>
          <w:rFonts w:ascii="Times New Roman" w:eastAsia="Calibri" w:hAnsi="Times New Roman" w:cs="Times New Roman"/>
          <w:sz w:val="24"/>
          <w:szCs w:val="24"/>
        </w:rPr>
        <w:t xml:space="preserve"> erdei iskola megvalósításával.</w:t>
      </w:r>
    </w:p>
    <w:p w:rsidR="000045EC"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I.7.7. </w:t>
      </w:r>
      <w:r w:rsidR="000045EC" w:rsidRPr="00852F1D">
        <w:rPr>
          <w:rFonts w:ascii="Times New Roman" w:hAnsi="Times New Roman" w:cs="Times New Roman"/>
          <w:b/>
          <w:sz w:val="24"/>
          <w:szCs w:val="24"/>
        </w:rPr>
        <w:t>ELTE Gyakorló Óvoda és Egységes Gyógypedagógiai Módszertani Intézmény</w:t>
      </w:r>
    </w:p>
    <w:p w:rsidR="00873BC7" w:rsidRPr="00873BC7" w:rsidRDefault="00873BC7" w:rsidP="00C03F01">
      <w:pPr>
        <w:spacing w:before="60" w:after="60" w:line="360" w:lineRule="exact"/>
        <w:contextualSpacing/>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 xml:space="preserve">A referencia intézmény magas szinten tett eleget fejlesztési és gyakorlati képzési feladatainak. Az óvodai tagozat kihasználtsága csaknem maximális. A szakszolgálati területen folyamatos volt a jelentkezés és a </w:t>
      </w:r>
      <w:r w:rsidR="00BA4AC9">
        <w:rPr>
          <w:rFonts w:ascii="Times New Roman" w:eastAsia="Calibri" w:hAnsi="Times New Roman" w:cs="Times New Roman"/>
          <w:sz w:val="24"/>
          <w:szCs w:val="24"/>
        </w:rPr>
        <w:t xml:space="preserve">gyermekek ellátása, gondozása. </w:t>
      </w:r>
      <w:r w:rsidRPr="00873BC7">
        <w:rPr>
          <w:rFonts w:ascii="Times New Roman" w:eastAsia="Calibri" w:hAnsi="Times New Roman" w:cs="Times New Roman"/>
          <w:sz w:val="24"/>
          <w:szCs w:val="24"/>
        </w:rPr>
        <w:t>Az intézmény részben folytatta az állatasszisztált terápiát és a te</w:t>
      </w:r>
      <w:r w:rsidR="00BA4AC9">
        <w:rPr>
          <w:rFonts w:ascii="Times New Roman" w:eastAsia="Calibri" w:hAnsi="Times New Roman" w:cs="Times New Roman"/>
          <w:sz w:val="24"/>
          <w:szCs w:val="24"/>
        </w:rPr>
        <w:t xml:space="preserve">rmészetbúvár óvodai programot. </w:t>
      </w:r>
      <w:r w:rsidRPr="00873BC7">
        <w:rPr>
          <w:rFonts w:ascii="Times New Roman" w:eastAsia="Calibri" w:hAnsi="Times New Roman" w:cs="Times New Roman"/>
          <w:sz w:val="24"/>
          <w:szCs w:val="24"/>
        </w:rPr>
        <w:t>A pedagógus kollégák közül 3 fő szakvizsgázott, akkreditált pedagógus továbbképzésre 5 fő járt.</w:t>
      </w:r>
    </w:p>
    <w:p w:rsidR="00873BC7" w:rsidRPr="00BA4AC9" w:rsidRDefault="00873BC7" w:rsidP="00BA4AC9">
      <w:pPr>
        <w:spacing w:before="60" w:line="360" w:lineRule="exact"/>
        <w:jc w:val="both"/>
        <w:rPr>
          <w:rFonts w:ascii="Times New Roman" w:eastAsia="Calibri" w:hAnsi="Times New Roman" w:cs="Times New Roman"/>
          <w:sz w:val="24"/>
          <w:szCs w:val="24"/>
        </w:rPr>
      </w:pPr>
      <w:r w:rsidRPr="00873BC7">
        <w:rPr>
          <w:rFonts w:ascii="Times New Roman" w:eastAsia="Calibri" w:hAnsi="Times New Roman" w:cs="Times New Roman"/>
          <w:sz w:val="24"/>
          <w:szCs w:val="24"/>
        </w:rPr>
        <w:t xml:space="preserve">Az intézmény a pedagógusképzési feladatait az elmúlt évekhez hasonlóan 2020. évben is főként az ELTE BGGyK képzési struktúrájához illeszkedően végezte. A hallgatói gyakorlatokat az értelmileg akadályozottak pedagógiája, a logopédia, valamint a hallássérültek pedagógiája szakirányon tanuló hallgatók számára biztosította évközi és terepgyakorlat formájában. Vállalta a Kar Erasmus hallgatóinak látogatását. Lehetőséget nyújtott egyéb gyógypedagógiai tárgyú képzési formák gyakorlatainak teljesítéséhez is. A képzéshez kapcsolódó gyakorlatokat 6 fő vezetőtanár irányította, 3 fő alkalmanként vezetett gyakorlatot. 2020-ban kb. 95 fő gyógypedagógus teljesítette gyakorlati kötelezettségét az intézményben. A hallgatók a felmérések szerint nagyon elégedettek a gyakorlat szervezésével, </w:t>
      </w:r>
      <w:r w:rsidRPr="00873BC7">
        <w:rPr>
          <w:rFonts w:ascii="Times New Roman" w:eastAsia="Calibri" w:hAnsi="Times New Roman" w:cs="Times New Roman"/>
          <w:sz w:val="24"/>
          <w:szCs w:val="24"/>
        </w:rPr>
        <w:lastRenderedPageBreak/>
        <w:t xml:space="preserve">tárgyi feltételeivel, a fejlesztőeszköz felszereltséggel. A vezetőtanárok szakmai felkészültségét, a szakmai munka színvonalát mind a szülők, mind pedig a hallgatók kiemelkedőnek ítélik.  </w:t>
      </w:r>
    </w:p>
    <w:p w:rsidR="000045EC"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I.7.8. </w:t>
      </w:r>
      <w:r w:rsidR="000045EC" w:rsidRPr="00852F1D">
        <w:rPr>
          <w:rFonts w:ascii="Times New Roman" w:hAnsi="Times New Roman" w:cs="Times New Roman"/>
          <w:b/>
          <w:sz w:val="24"/>
          <w:szCs w:val="24"/>
        </w:rPr>
        <w:t>ELTE Gyakorló Országos Pedagógiai Szakszolgálat</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A 2020-as év az ELTE Gyakorló Országos Pedagógiai Szakszolgálat működése szempontjából igen jelentős változásokat hozott. A diagnosztikai szolgáltatásaival összefüggően felsőoktatási gyakorlatban részt vevő intézmények kliensellátását szabályozó jogszabályi keretek jelentősen átalakultak. Az intézmény illetékessége többször változott, a feladatkörök szakmai szinten szabályozódtak a kiemelten összetett, vagy speciális módszertani igényt elváró diagnosztikus kérdésekben.</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Az intézményben egy fő szakképzése zárult, további egy munkatársunk folytatott tanulmányi szerződésében meghatározottak szerint tanulmányokat.</w:t>
      </w:r>
    </w:p>
    <w:p w:rsidR="00873BC7" w:rsidRPr="00BA4AC9" w:rsidRDefault="00873BC7" w:rsidP="00BA4AC9">
      <w:pPr>
        <w:spacing w:line="360" w:lineRule="exact"/>
        <w:jc w:val="both"/>
        <w:rPr>
          <w:rFonts w:ascii="Times New Roman" w:hAnsi="Times New Roman" w:cs="Times New Roman"/>
          <w:sz w:val="24"/>
          <w:szCs w:val="24"/>
        </w:rPr>
      </w:pPr>
      <w:r w:rsidRPr="00873BC7">
        <w:rPr>
          <w:rFonts w:ascii="Times New Roman" w:hAnsi="Times New Roman" w:cs="Times New Roman"/>
          <w:sz w:val="24"/>
          <w:szCs w:val="24"/>
        </w:rPr>
        <w:t>A 15/2013. (II.26) EMMI rendelet 39</w:t>
      </w:r>
      <w:r w:rsidR="00B371B6">
        <w:rPr>
          <w:rFonts w:ascii="Times New Roman" w:hAnsi="Times New Roman" w:cs="Times New Roman"/>
          <w:sz w:val="24"/>
          <w:szCs w:val="24"/>
        </w:rPr>
        <w:t xml:space="preserve">. </w:t>
      </w:r>
      <w:r w:rsidRPr="00873BC7">
        <w:rPr>
          <w:rFonts w:ascii="Times New Roman" w:hAnsi="Times New Roman" w:cs="Times New Roman"/>
          <w:sz w:val="24"/>
          <w:szCs w:val="24"/>
        </w:rPr>
        <w:t xml:space="preserve">§ szerint az Intézmény szept.-1-től szakértői bizottsági tevékenység keretében felnőtt személyeknek az eddigiektől eltérő körét látja el. Ennek megfelelően a feladatot eddig végző Kormányhivatalokkal, nyelvvizsga-központokkal, a felsőoktatási intézményekkel széles körű egyeztetés történt. Az átadott feladatok (köznevelésben tanuló felnőtt személyek) diagnosztikus kérdéseiről, tapasztalatainkról országosan -év végéig- a pedagógiai szakszolgálatok nagy részének tartottak megyénként </w:t>
      </w:r>
      <w:r w:rsidR="00BA4AC9">
        <w:rPr>
          <w:rFonts w:ascii="Times New Roman" w:hAnsi="Times New Roman" w:cs="Times New Roman"/>
          <w:sz w:val="24"/>
          <w:szCs w:val="24"/>
        </w:rPr>
        <w:t>előadást és Teams konzultációt.</w:t>
      </w:r>
    </w:p>
    <w:p w:rsidR="000045EC" w:rsidRPr="00852F1D"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I.7.9. </w:t>
      </w:r>
      <w:r w:rsidR="000045EC" w:rsidRPr="00852F1D">
        <w:rPr>
          <w:rFonts w:ascii="Times New Roman" w:hAnsi="Times New Roman" w:cs="Times New Roman"/>
          <w:b/>
          <w:sz w:val="24"/>
          <w:szCs w:val="24"/>
        </w:rPr>
        <w:t>ELTE Bolyai János Gyakorló Általános Iskola és Gimnázium</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ELTE Bolyai János Gyakorló Általános Iskola és Gimnázium Szombathely egyik legkeresettebb oktatási intézménye. Az intézmény megőrizte vezető helyét a megye gimnáziumai között. Az ELTE gyakorló iskolája 12 évfolyammal meghatározó szerepet tölt be a térség pedagógus képzésében is. Az iskola pedagógiai programjának két fontos pillére az érték-, illetve személyiségközpontú nevelési irányultság, valamint a teljesítményelv. Ez olyan iskolai légkört jelent, amelyben a személyiség, a tehetség, a tudás, a szorgalom tiszteletet élvez, és alapvetően fontos a tanárok és a diákok együttműködése. </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Az iskolai oktatómunkának kiemelkedően sikeres ter</w:t>
      </w:r>
      <w:r>
        <w:rPr>
          <w:rFonts w:ascii="Times New Roman" w:hAnsi="Times New Roman" w:cs="Times New Roman"/>
          <w:sz w:val="24"/>
          <w:szCs w:val="24"/>
        </w:rPr>
        <w:t xml:space="preserve">ületei a természettudományok, a </w:t>
      </w:r>
      <w:r w:rsidRPr="00873BC7">
        <w:rPr>
          <w:rFonts w:ascii="Times New Roman" w:hAnsi="Times New Roman" w:cs="Times New Roman"/>
          <w:sz w:val="24"/>
          <w:szCs w:val="24"/>
        </w:rPr>
        <w:t>matematika, a digitális kultúra, idegen nyelvek, valamint a történelem. Az eredményeket a belső vizsgarendszeren, az imponáló egyetemi felvételi arányokon túl az is hitelesíti, hogy diákjaink az említett területeken kiemelkedően szerepelnek megyei, országos és nemzetközi versenyeken. A legkiválóbb diákok eredményeiről, a felkészítő tanárok munkájáról az évenként megjelenő iskolai értesítő ad számot.</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Az intézményben kiemelt szerepe van a tehetséggondozásnak. Az iskola Minősített Tehetségműhelyként működik és egyike az országban összesen 12 működő Matematika Tudásközpontnak is. Emellett az Oktatási Hivatal hivatalos Bázisintézménye is egyben.</w:t>
      </w:r>
    </w:p>
    <w:p w:rsidR="00873BC7" w:rsidRPr="00873BC7" w:rsidRDefault="00873BC7" w:rsidP="00BA4AC9">
      <w:pPr>
        <w:spacing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lastRenderedPageBreak/>
        <w:t xml:space="preserve">2020-ban indítottuk el a belső mentorhálózatot, melynek eredményeképpen a diákok személyre szabott támogatás mellett bontakoztathatják ki tehetségüket az egyes tudományterületeken. </w:t>
      </w:r>
    </w:p>
    <w:p w:rsidR="00873BC7" w:rsidRPr="00873BC7" w:rsidRDefault="00873BC7" w:rsidP="00BA4AC9">
      <w:pPr>
        <w:spacing w:after="6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iskolában több mint 1000 diák tanul 85 – többségében magasan kvalifikált, az egyetem módszertani és egyéb kutatásaiban is részt vállaló – pedagógus irányításával. </w:t>
      </w:r>
    </w:p>
    <w:p w:rsidR="00873BC7" w:rsidRPr="00BA4AC9" w:rsidRDefault="00873BC7" w:rsidP="00BA4AC9">
      <w:pPr>
        <w:spacing w:before="60" w:line="360" w:lineRule="exact"/>
        <w:jc w:val="both"/>
        <w:rPr>
          <w:rFonts w:ascii="Times New Roman" w:hAnsi="Times New Roman" w:cs="Times New Roman"/>
          <w:sz w:val="24"/>
          <w:szCs w:val="24"/>
        </w:rPr>
      </w:pPr>
      <w:r w:rsidRPr="00873BC7">
        <w:rPr>
          <w:rFonts w:ascii="Times New Roman" w:hAnsi="Times New Roman" w:cs="Times New Roman"/>
          <w:sz w:val="24"/>
          <w:szCs w:val="24"/>
        </w:rPr>
        <w:t>2020 komoly kihívások elé állította az oktatást, így intézményünk tavasszal teljesen, ősszel pedig részben átállt a digitális munkarendre (1-8. évfolyamon jelenléti oktatás</w:t>
      </w:r>
      <w:r w:rsidR="00BA4AC9">
        <w:rPr>
          <w:rFonts w:ascii="Times New Roman" w:hAnsi="Times New Roman" w:cs="Times New Roman"/>
          <w:sz w:val="24"/>
          <w:szCs w:val="24"/>
        </w:rPr>
        <w:t xml:space="preserve"> mellett folytatódott a munka).</w:t>
      </w:r>
    </w:p>
    <w:p w:rsidR="00873BC7" w:rsidRDefault="00D0508C" w:rsidP="00C03F01">
      <w:pPr>
        <w:spacing w:before="60" w:after="60" w:line="360" w:lineRule="exact"/>
        <w:jc w:val="both"/>
        <w:rPr>
          <w:rFonts w:ascii="Times New Roman" w:hAnsi="Times New Roman" w:cs="Times New Roman"/>
          <w:b/>
          <w:sz w:val="24"/>
          <w:szCs w:val="24"/>
        </w:rPr>
      </w:pPr>
      <w:r w:rsidRPr="00852F1D">
        <w:rPr>
          <w:rFonts w:ascii="Times New Roman" w:hAnsi="Times New Roman" w:cs="Times New Roman"/>
          <w:b/>
          <w:sz w:val="24"/>
          <w:szCs w:val="24"/>
        </w:rPr>
        <w:t xml:space="preserve">I.7.10. </w:t>
      </w:r>
      <w:r w:rsidR="000045EC" w:rsidRPr="00852F1D">
        <w:rPr>
          <w:rFonts w:ascii="Times New Roman" w:hAnsi="Times New Roman" w:cs="Times New Roman"/>
          <w:b/>
          <w:sz w:val="24"/>
          <w:szCs w:val="24"/>
        </w:rPr>
        <w:t xml:space="preserve">ELTE Savaria Regionális Pedagógiai Szolgáltató és Kutató Központ </w:t>
      </w:r>
    </w:p>
    <w:p w:rsidR="00421266" w:rsidRDefault="00873BC7" w:rsidP="00BA4AC9">
      <w:pPr>
        <w:spacing w:before="60" w:after="0" w:line="360" w:lineRule="exact"/>
        <w:jc w:val="both"/>
        <w:rPr>
          <w:rFonts w:ascii="Times New Roman" w:hAnsi="Times New Roman" w:cs="Times New Roman"/>
          <w:sz w:val="24"/>
          <w:szCs w:val="24"/>
        </w:rPr>
      </w:pPr>
      <w:r w:rsidRPr="00873BC7">
        <w:rPr>
          <w:rFonts w:ascii="Times New Roman" w:hAnsi="Times New Roman" w:cs="Times New Roman"/>
          <w:sz w:val="24"/>
          <w:szCs w:val="24"/>
        </w:rPr>
        <w:t xml:space="preserve">Az Intézmény az ELTE többcélú közös igazgatású, pedagógiai-szakmai szolgáltatásokat nyújtó köznevelési intézménye Szombathelyen. A Szakmai Szolgáltató Intézményegység alapfeladata pedagógiai-szakmai szolgáltatások nyújtása köznevelési intézmények, pedagógusok és tanulók számára a jogszabály által meghatározott nyolc szolgáltatási területen. A Központ a szolgáltatásokat 2020-ban is Vas megyében teljes körűen, a régióban igény szerint végezte. A szolgáltatási területek közül kiemelten kezelte a pedagógusok tanulásának támogatását, a mérés-értékelést és a tehetséggondozást. 2020-ban a tanulástámogató szakmai programokon 74 képzési formában 1393 pedagógus vett részt. A Központ hét darab új pedagógus-továbbképzést fejlesztett és alapított, többek között alfa generáció, élménypedagógia, autizmus témában, illetve megtörtént tíz darab már működő továbbképzés online kontakt formára történő átdolgozása is. Az intézmény a mérés-értékelési szolgáltatáson belül 1340 feladattal bővítette kilenc tantárgyból a valóság-közeli feladatbankját. Két országos és négy megyei tanulmányi versenyt szervezett, összesen 7520 diák részvételével. </w:t>
      </w:r>
    </w:p>
    <w:p w:rsidR="00A73803" w:rsidRPr="00421266" w:rsidRDefault="00421266" w:rsidP="00BA4AC9">
      <w:pPr>
        <w:spacing w:after="0" w:line="360" w:lineRule="exact"/>
        <w:jc w:val="both"/>
        <w:rPr>
          <w:rFonts w:ascii="Times New Roman" w:hAnsi="Times New Roman" w:cs="Times New Roman"/>
          <w:sz w:val="24"/>
          <w:szCs w:val="24"/>
        </w:rPr>
      </w:pPr>
      <w:r>
        <w:rPr>
          <w:rFonts w:ascii="Times New Roman" w:hAnsi="Times New Roman" w:cs="Times New Roman"/>
          <w:sz w:val="24"/>
          <w:szCs w:val="24"/>
        </w:rPr>
        <w:t>A</w:t>
      </w:r>
      <w:r w:rsidR="00873BC7" w:rsidRPr="00873BC7">
        <w:rPr>
          <w:rFonts w:ascii="Times New Roman" w:hAnsi="Times New Roman" w:cs="Times New Roman"/>
          <w:sz w:val="24"/>
          <w:szCs w:val="24"/>
        </w:rPr>
        <w:t>z EFOP-3.1.2. Mindenki Iskolája projekt keretében az ELTE Regionális Képzési Alközpontjaként 2020-ban Vas, Zala, Veszprém és Győr-Moson-Sopron megye 39 iskolájában 51 képzési csoportban 11 akkreditált pedagógus-továbbképzésben 978 pedagógus részvételével szervezett kihelyezett nevelőtestületi szintű továbbképzéseket.</w:t>
      </w:r>
    </w:p>
    <w:p w:rsidR="006D3F7B" w:rsidRDefault="006D3F7B">
      <w:pPr>
        <w:rPr>
          <w:rFonts w:ascii="Times New Roman" w:hAnsi="Times New Roman" w:cs="Times New Roman"/>
          <w:b/>
          <w:sz w:val="24"/>
          <w:szCs w:val="24"/>
        </w:rPr>
      </w:pPr>
      <w:r>
        <w:rPr>
          <w:rFonts w:ascii="Times New Roman" w:hAnsi="Times New Roman" w:cs="Times New Roman"/>
          <w:b/>
          <w:sz w:val="24"/>
          <w:szCs w:val="24"/>
        </w:rPr>
        <w:br w:type="page"/>
      </w:r>
    </w:p>
    <w:p w:rsidR="00A73803" w:rsidRPr="00221CF5" w:rsidRDefault="00A73803" w:rsidP="002F4B31">
      <w:pPr>
        <w:keepNext/>
        <w:keepLines/>
        <w:spacing w:before="240" w:after="280"/>
        <w:outlineLvl w:val="1"/>
        <w:rPr>
          <w:rFonts w:ascii="Times New Roman" w:hAnsi="Times New Roman" w:cs="Times New Roman"/>
          <w:b/>
          <w:sz w:val="24"/>
          <w:szCs w:val="24"/>
        </w:rPr>
      </w:pPr>
      <w:r w:rsidRPr="00221CF5">
        <w:rPr>
          <w:rFonts w:ascii="Times New Roman" w:hAnsi="Times New Roman" w:cs="Times New Roman"/>
          <w:b/>
          <w:sz w:val="24"/>
          <w:szCs w:val="24"/>
        </w:rPr>
        <w:lastRenderedPageBreak/>
        <w:t>II. pénzügyi beszámoló</w:t>
      </w:r>
    </w:p>
    <w:p w:rsidR="00A73803" w:rsidRPr="00421266" w:rsidRDefault="00A73803" w:rsidP="00A73803">
      <w:pPr>
        <w:spacing w:after="60"/>
        <w:jc w:val="both"/>
        <w:rPr>
          <w:rFonts w:ascii="Times New Roman" w:hAnsi="Times New Roman" w:cs="Times New Roman"/>
          <w:b/>
          <w:sz w:val="24"/>
          <w:szCs w:val="24"/>
        </w:rPr>
      </w:pPr>
      <w:r w:rsidRPr="00221CF5">
        <w:rPr>
          <w:rFonts w:ascii="Times New Roman" w:hAnsi="Times New Roman" w:cs="Times New Roman"/>
          <w:b/>
          <w:sz w:val="24"/>
          <w:szCs w:val="24"/>
        </w:rPr>
        <w:t xml:space="preserve">II.1 Az </w:t>
      </w:r>
      <w:r w:rsidR="00421266">
        <w:rPr>
          <w:rFonts w:ascii="Times New Roman" w:hAnsi="Times New Roman" w:cs="Times New Roman"/>
          <w:b/>
          <w:sz w:val="24"/>
          <w:szCs w:val="24"/>
        </w:rPr>
        <w:t>előirányzatok évközi változásai</w:t>
      </w:r>
    </w:p>
    <w:p w:rsidR="00421266" w:rsidRDefault="00A73803" w:rsidP="002F4B31">
      <w:pPr>
        <w:spacing w:after="60"/>
        <w:jc w:val="both"/>
        <w:rPr>
          <w:rFonts w:ascii="Times New Roman" w:hAnsi="Times New Roman" w:cs="Times New Roman"/>
          <w:bCs/>
          <w:sz w:val="24"/>
          <w:szCs w:val="24"/>
        </w:rPr>
      </w:pPr>
      <w:r w:rsidRPr="00221CF5">
        <w:rPr>
          <w:rFonts w:ascii="Times New Roman" w:hAnsi="Times New Roman" w:cs="Times New Roman"/>
          <w:bCs/>
          <w:sz w:val="24"/>
          <w:szCs w:val="24"/>
        </w:rPr>
        <w:t>Az Eötvös Loránd Tudományegyetem 2020. évi költségvetésének</w:t>
      </w:r>
      <w:r>
        <w:rPr>
          <w:rFonts w:ascii="Times New Roman" w:hAnsi="Times New Roman" w:cs="Times New Roman"/>
          <w:bCs/>
          <w:sz w:val="24"/>
          <w:szCs w:val="24"/>
        </w:rPr>
        <w:t xml:space="preserve"> módosított előirányzata</w:t>
      </w:r>
      <w:r w:rsidRPr="00221CF5">
        <w:rPr>
          <w:rFonts w:ascii="Times New Roman" w:hAnsi="Times New Roman" w:cs="Times New Roman"/>
          <w:bCs/>
          <w:sz w:val="24"/>
          <w:szCs w:val="24"/>
        </w:rPr>
        <w:t xml:space="preserve"> 69 815,4 mFt volt, amely 32 108,9 mFt központi, irányítószervi támogatást, 18 320,7 mFt saját bevételt és 19 385,8 mFt pénzmaradvá</w:t>
      </w:r>
      <w:r w:rsidR="00421266">
        <w:rPr>
          <w:rFonts w:ascii="Times New Roman" w:hAnsi="Times New Roman" w:cs="Times New Roman"/>
          <w:bCs/>
          <w:sz w:val="24"/>
          <w:szCs w:val="24"/>
        </w:rPr>
        <w:t xml:space="preserve">ny igénybevételt tartalmazott. </w:t>
      </w:r>
    </w:p>
    <w:p w:rsidR="00A73803" w:rsidRPr="00421266" w:rsidRDefault="00A73803" w:rsidP="002F4B31">
      <w:pPr>
        <w:spacing w:after="240"/>
        <w:jc w:val="both"/>
        <w:rPr>
          <w:rFonts w:ascii="Times New Roman" w:hAnsi="Times New Roman" w:cs="Times New Roman"/>
          <w:bCs/>
          <w:sz w:val="24"/>
          <w:szCs w:val="24"/>
        </w:rPr>
      </w:pPr>
      <w:r w:rsidRPr="00221CF5">
        <w:rPr>
          <w:rFonts w:ascii="Times New Roman" w:hAnsi="Times New Roman" w:cs="Times New Roman"/>
          <w:sz w:val="24"/>
          <w:szCs w:val="24"/>
        </w:rPr>
        <w:t>Az Egyetem 2020. évi jóváhagyott eredeti költségvetése 32 707,0 mFt évközi módosítással emelkedett. A módosítások összetétele az alábbiak szerint alakult. Az évközi Kormány, illetve felügyeleti hatáskörben benyújtott előirányzat-módosítások alapján elrendelt és kapott pótelőirányzat 5 653,8 mFt, intézményi hatáskörben végrehajtott előirányza</w:t>
      </w:r>
      <w:r w:rsidR="00421266">
        <w:rPr>
          <w:rFonts w:ascii="Times New Roman" w:hAnsi="Times New Roman" w:cs="Times New Roman"/>
          <w:sz w:val="24"/>
          <w:szCs w:val="24"/>
        </w:rPr>
        <w:t xml:space="preserve">t módosítás 27 053,2 mFt volt. </w:t>
      </w:r>
    </w:p>
    <w:p w:rsidR="00A73803" w:rsidRPr="00221CF5" w:rsidRDefault="00A73803" w:rsidP="002F4B31">
      <w:pPr>
        <w:tabs>
          <w:tab w:val="left" w:pos="284"/>
          <w:tab w:val="left" w:pos="567"/>
        </w:tabs>
        <w:spacing w:after="60"/>
        <w:jc w:val="both"/>
        <w:rPr>
          <w:rFonts w:ascii="Times New Roman" w:hAnsi="Times New Roman" w:cs="Times New Roman"/>
          <w:b/>
          <w:sz w:val="24"/>
          <w:szCs w:val="24"/>
        </w:rPr>
      </w:pPr>
      <w:r w:rsidRPr="00221CF5">
        <w:rPr>
          <w:rFonts w:ascii="Times New Roman" w:hAnsi="Times New Roman" w:cs="Times New Roman"/>
          <w:b/>
          <w:sz w:val="24"/>
          <w:szCs w:val="24"/>
        </w:rPr>
        <w:t>II.2. A pénzeszközök összetételét az alábbi táblázatban mutatjuk be:</w:t>
      </w:r>
    </w:p>
    <w:tbl>
      <w:tblPr>
        <w:tblW w:w="5882" w:type="dxa"/>
        <w:tblInd w:w="1843" w:type="dxa"/>
        <w:tblCellMar>
          <w:left w:w="70" w:type="dxa"/>
          <w:right w:w="70" w:type="dxa"/>
        </w:tblCellMar>
        <w:tblLook w:val="04A0" w:firstRow="1" w:lastRow="0" w:firstColumn="1" w:lastColumn="0" w:noHBand="0" w:noVBand="1"/>
      </w:tblPr>
      <w:tblGrid>
        <w:gridCol w:w="4323"/>
        <w:gridCol w:w="1559"/>
      </w:tblGrid>
      <w:tr w:rsidR="00A73803" w:rsidRPr="00421266" w:rsidTr="002F4B31">
        <w:trPr>
          <w:trHeight w:val="405"/>
        </w:trPr>
        <w:tc>
          <w:tcPr>
            <w:tcW w:w="4323" w:type="dxa"/>
            <w:tcBorders>
              <w:top w:val="single" w:sz="4" w:space="0" w:color="auto"/>
              <w:left w:val="single" w:sz="4" w:space="0" w:color="auto"/>
              <w:bottom w:val="nil"/>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b/>
                <w:color w:val="000000"/>
              </w:rPr>
            </w:pPr>
            <w:r w:rsidRPr="00421266">
              <w:rPr>
                <w:rFonts w:ascii="Times New Roman" w:hAnsi="Times New Roman" w:cs="Times New Roman"/>
                <w:b/>
                <w:color w:val="000000"/>
              </w:rPr>
              <w:t>Pénzeszközök</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A73803" w:rsidRPr="00421266" w:rsidRDefault="00BA4AC9" w:rsidP="00BA4AC9">
            <w:pPr>
              <w:spacing w:before="60" w:after="60" w:line="240" w:lineRule="auto"/>
              <w:jc w:val="center"/>
              <w:rPr>
                <w:rFonts w:ascii="Times New Roman" w:hAnsi="Times New Roman" w:cs="Times New Roman"/>
                <w:b/>
                <w:color w:val="000000"/>
              </w:rPr>
            </w:pPr>
            <w:r>
              <w:rPr>
                <w:rFonts w:ascii="Times New Roman" w:hAnsi="Times New Roman" w:cs="Times New Roman"/>
                <w:b/>
                <w:color w:val="000000"/>
              </w:rPr>
              <w:t>Összeg (mFt)</w:t>
            </w:r>
          </w:p>
        </w:tc>
      </w:tr>
      <w:tr w:rsidR="00A73803" w:rsidRPr="00421266" w:rsidTr="002F4B31">
        <w:trPr>
          <w:trHeight w:val="405"/>
        </w:trPr>
        <w:tc>
          <w:tcPr>
            <w:tcW w:w="4323" w:type="dxa"/>
            <w:tcBorders>
              <w:top w:val="single" w:sz="4" w:space="0" w:color="auto"/>
              <w:left w:val="single" w:sz="4" w:space="0" w:color="auto"/>
              <w:bottom w:val="nil"/>
              <w:right w:val="nil"/>
            </w:tcBorders>
            <w:shd w:val="clear" w:color="auto" w:fill="auto"/>
            <w:noWrap/>
            <w:vAlign w:val="bottom"/>
            <w:hideMark/>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KESZ főszámla</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A73803" w:rsidRPr="00421266" w:rsidRDefault="00A73803" w:rsidP="00BA4AC9">
            <w:pPr>
              <w:spacing w:before="60" w:after="60" w:line="240" w:lineRule="auto"/>
              <w:jc w:val="right"/>
              <w:rPr>
                <w:rFonts w:ascii="Times New Roman" w:hAnsi="Times New Roman" w:cs="Times New Roman"/>
                <w:color w:val="000000"/>
              </w:rPr>
            </w:pPr>
            <w:r w:rsidRPr="00421266">
              <w:rPr>
                <w:rFonts w:ascii="Times New Roman" w:hAnsi="Times New Roman" w:cs="Times New Roman"/>
                <w:color w:val="000000"/>
              </w:rPr>
              <w:t>17</w:t>
            </w:r>
            <w:r w:rsidR="00BA4AC9">
              <w:rPr>
                <w:rFonts w:ascii="Times New Roman" w:hAnsi="Times New Roman" w:cs="Times New Roman"/>
                <w:color w:val="000000"/>
              </w:rPr>
              <w:t> </w:t>
            </w:r>
            <w:r w:rsidRPr="00421266">
              <w:rPr>
                <w:rFonts w:ascii="Times New Roman" w:hAnsi="Times New Roman" w:cs="Times New Roman"/>
                <w:color w:val="000000"/>
              </w:rPr>
              <w:t>717</w:t>
            </w:r>
            <w:r w:rsidR="00BA4AC9">
              <w:rPr>
                <w:rFonts w:ascii="Times New Roman" w:hAnsi="Times New Roman" w:cs="Times New Roman"/>
                <w:color w:val="000000"/>
              </w:rPr>
              <w:t>,7</w:t>
            </w:r>
          </w:p>
        </w:tc>
      </w:tr>
      <w:tr w:rsidR="00A73803" w:rsidRPr="00421266" w:rsidTr="002F4B31">
        <w:trPr>
          <w:trHeight w:val="405"/>
        </w:trPr>
        <w:tc>
          <w:tcPr>
            <w:tcW w:w="4323" w:type="dxa"/>
            <w:tcBorders>
              <w:top w:val="single" w:sz="4" w:space="0" w:color="auto"/>
              <w:left w:val="single" w:sz="4" w:space="0" w:color="auto"/>
              <w:bottom w:val="nil"/>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EU-s progr. alszámla</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A73803" w:rsidRPr="00421266" w:rsidRDefault="00A73803" w:rsidP="00BA4AC9">
            <w:pPr>
              <w:spacing w:before="60" w:after="60" w:line="240" w:lineRule="auto"/>
              <w:jc w:val="right"/>
              <w:rPr>
                <w:rFonts w:ascii="Times New Roman" w:hAnsi="Times New Roman" w:cs="Times New Roman"/>
                <w:color w:val="000000"/>
              </w:rPr>
            </w:pPr>
            <w:r w:rsidRPr="00421266">
              <w:rPr>
                <w:rFonts w:ascii="Times New Roman" w:hAnsi="Times New Roman" w:cs="Times New Roman"/>
                <w:color w:val="000000"/>
              </w:rPr>
              <w:t>1</w:t>
            </w:r>
            <w:r w:rsidR="00BA4AC9">
              <w:rPr>
                <w:rFonts w:ascii="Times New Roman" w:hAnsi="Times New Roman" w:cs="Times New Roman"/>
                <w:color w:val="000000"/>
              </w:rPr>
              <w:t> </w:t>
            </w:r>
            <w:r w:rsidRPr="00421266">
              <w:rPr>
                <w:rFonts w:ascii="Times New Roman" w:hAnsi="Times New Roman" w:cs="Times New Roman"/>
                <w:color w:val="000000"/>
              </w:rPr>
              <w:t>054</w:t>
            </w:r>
            <w:r w:rsidR="00BA4AC9">
              <w:rPr>
                <w:rFonts w:ascii="Times New Roman" w:hAnsi="Times New Roman" w:cs="Times New Roman"/>
                <w:color w:val="000000"/>
              </w:rPr>
              <w:t>,3</w:t>
            </w:r>
          </w:p>
        </w:tc>
      </w:tr>
      <w:tr w:rsidR="00A73803" w:rsidRPr="00421266" w:rsidTr="002F4B31">
        <w:trPr>
          <w:trHeight w:val="405"/>
        </w:trPr>
        <w:tc>
          <w:tcPr>
            <w:tcW w:w="4323" w:type="dxa"/>
            <w:tcBorders>
              <w:top w:val="nil"/>
              <w:left w:val="single" w:sz="4" w:space="0" w:color="auto"/>
              <w:bottom w:val="nil"/>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K+F+I felsőoktatási alszámla</w:t>
            </w:r>
          </w:p>
        </w:tc>
        <w:tc>
          <w:tcPr>
            <w:tcW w:w="1559" w:type="dxa"/>
            <w:tcBorders>
              <w:top w:val="nil"/>
              <w:left w:val="single" w:sz="4" w:space="0" w:color="auto"/>
              <w:bottom w:val="nil"/>
              <w:right w:val="single" w:sz="4" w:space="0" w:color="auto"/>
            </w:tcBorders>
            <w:shd w:val="clear" w:color="auto" w:fill="auto"/>
            <w:noWrap/>
            <w:vAlign w:val="bottom"/>
          </w:tcPr>
          <w:p w:rsidR="00A73803" w:rsidRPr="00421266" w:rsidRDefault="00BA4AC9" w:rsidP="00BA4AC9">
            <w:pPr>
              <w:spacing w:before="60" w:after="60" w:line="240" w:lineRule="auto"/>
              <w:jc w:val="right"/>
              <w:rPr>
                <w:rFonts w:ascii="Times New Roman" w:hAnsi="Times New Roman" w:cs="Times New Roman"/>
                <w:color w:val="000000"/>
              </w:rPr>
            </w:pPr>
            <w:r>
              <w:rPr>
                <w:rFonts w:ascii="Times New Roman" w:hAnsi="Times New Roman" w:cs="Times New Roman"/>
                <w:color w:val="000000"/>
              </w:rPr>
              <w:t>9 424,3</w:t>
            </w:r>
          </w:p>
        </w:tc>
      </w:tr>
      <w:tr w:rsidR="00A73803" w:rsidRPr="00421266" w:rsidTr="002F4B31">
        <w:trPr>
          <w:trHeight w:val="405"/>
        </w:trPr>
        <w:tc>
          <w:tcPr>
            <w:tcW w:w="4323" w:type="dxa"/>
            <w:tcBorders>
              <w:top w:val="nil"/>
              <w:left w:val="single" w:sz="4" w:space="0" w:color="auto"/>
              <w:bottom w:val="nil"/>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Kincstári kártya</w:t>
            </w:r>
          </w:p>
        </w:tc>
        <w:tc>
          <w:tcPr>
            <w:tcW w:w="1559" w:type="dxa"/>
            <w:tcBorders>
              <w:top w:val="nil"/>
              <w:left w:val="single" w:sz="4" w:space="0" w:color="auto"/>
              <w:bottom w:val="nil"/>
              <w:right w:val="single" w:sz="4" w:space="0" w:color="auto"/>
            </w:tcBorders>
            <w:shd w:val="clear" w:color="auto" w:fill="auto"/>
            <w:noWrap/>
            <w:vAlign w:val="bottom"/>
          </w:tcPr>
          <w:p w:rsidR="00A73803" w:rsidRPr="00421266" w:rsidRDefault="00BA4AC9" w:rsidP="00BA4AC9">
            <w:pPr>
              <w:spacing w:before="60" w:after="60" w:line="240" w:lineRule="auto"/>
              <w:jc w:val="right"/>
              <w:rPr>
                <w:rFonts w:ascii="Times New Roman" w:hAnsi="Times New Roman" w:cs="Times New Roman"/>
                <w:color w:val="000000"/>
              </w:rPr>
            </w:pPr>
            <w:r>
              <w:rPr>
                <w:rFonts w:ascii="Times New Roman" w:hAnsi="Times New Roman" w:cs="Times New Roman"/>
                <w:color w:val="000000"/>
              </w:rPr>
              <w:t>6 281,2</w:t>
            </w:r>
          </w:p>
        </w:tc>
      </w:tr>
      <w:tr w:rsidR="00A73803" w:rsidRPr="00421266" w:rsidTr="002F4B31">
        <w:trPr>
          <w:trHeight w:val="405"/>
        </w:trPr>
        <w:tc>
          <w:tcPr>
            <w:tcW w:w="4323" w:type="dxa"/>
            <w:tcBorders>
              <w:top w:val="nil"/>
              <w:left w:val="single" w:sz="4" w:space="0" w:color="auto"/>
              <w:bottom w:val="single" w:sz="4" w:space="0" w:color="auto"/>
              <w:right w:val="nil"/>
            </w:tcBorders>
            <w:shd w:val="clear" w:color="auto" w:fill="auto"/>
            <w:noWrap/>
            <w:vAlign w:val="bottom"/>
            <w:hideMark/>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PPP alszámla</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A73803" w:rsidRPr="00421266" w:rsidRDefault="00BA4AC9" w:rsidP="00BA4AC9">
            <w:pPr>
              <w:spacing w:before="60" w:after="60" w:line="240" w:lineRule="auto"/>
              <w:jc w:val="right"/>
              <w:rPr>
                <w:rFonts w:ascii="Times New Roman" w:hAnsi="Times New Roman" w:cs="Times New Roman"/>
                <w:color w:val="000000"/>
              </w:rPr>
            </w:pPr>
            <w:r>
              <w:rPr>
                <w:rFonts w:ascii="Times New Roman" w:hAnsi="Times New Roman" w:cs="Times New Roman"/>
                <w:color w:val="000000"/>
              </w:rPr>
              <w:t>-</w:t>
            </w:r>
          </w:p>
        </w:tc>
      </w:tr>
      <w:tr w:rsidR="00A73803" w:rsidRPr="00421266" w:rsidTr="002F4B31">
        <w:trPr>
          <w:trHeight w:val="390"/>
        </w:trPr>
        <w:tc>
          <w:tcPr>
            <w:tcW w:w="4323" w:type="dxa"/>
            <w:tcBorders>
              <w:top w:val="single" w:sz="4" w:space="0" w:color="auto"/>
              <w:left w:val="single" w:sz="4" w:space="0" w:color="auto"/>
              <w:bottom w:val="single" w:sz="4" w:space="0" w:color="auto"/>
              <w:right w:val="nil"/>
            </w:tcBorders>
            <w:shd w:val="clear" w:color="auto" w:fill="auto"/>
            <w:noWrap/>
            <w:vAlign w:val="bottom"/>
            <w:hideMark/>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Neptun hallgatói gyűjtőszámla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3803" w:rsidRPr="00421266" w:rsidRDefault="00A73803" w:rsidP="00BA4AC9">
            <w:pPr>
              <w:spacing w:before="60" w:after="60" w:line="240" w:lineRule="auto"/>
              <w:jc w:val="right"/>
              <w:rPr>
                <w:rFonts w:ascii="Times New Roman" w:hAnsi="Times New Roman" w:cs="Times New Roman"/>
                <w:color w:val="000000"/>
              </w:rPr>
            </w:pPr>
            <w:r w:rsidRPr="00421266">
              <w:rPr>
                <w:rFonts w:ascii="Times New Roman" w:hAnsi="Times New Roman" w:cs="Times New Roman"/>
                <w:color w:val="000000"/>
              </w:rPr>
              <w:t>121</w:t>
            </w:r>
            <w:r w:rsidR="002F4B31">
              <w:rPr>
                <w:rFonts w:ascii="Times New Roman" w:hAnsi="Times New Roman" w:cs="Times New Roman"/>
                <w:color w:val="000000"/>
              </w:rPr>
              <w:t>,5</w:t>
            </w:r>
          </w:p>
        </w:tc>
      </w:tr>
      <w:tr w:rsidR="00A73803" w:rsidRPr="00421266" w:rsidTr="002F4B31">
        <w:trPr>
          <w:trHeight w:val="300"/>
        </w:trPr>
        <w:tc>
          <w:tcPr>
            <w:tcW w:w="4323" w:type="dxa"/>
            <w:tcBorders>
              <w:top w:val="nil"/>
              <w:left w:val="single" w:sz="4" w:space="0" w:color="auto"/>
              <w:bottom w:val="single" w:sz="4" w:space="0" w:color="auto"/>
              <w:right w:val="nil"/>
            </w:tcBorders>
            <w:shd w:val="clear" w:color="auto" w:fill="auto"/>
            <w:noWrap/>
            <w:vAlign w:val="bottom"/>
            <w:hideMark/>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Kincstári forintszámlák összesen</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A73803" w:rsidRPr="00421266" w:rsidRDefault="00A73803" w:rsidP="00BA4AC9">
            <w:pPr>
              <w:spacing w:before="60" w:after="60" w:line="240" w:lineRule="auto"/>
              <w:ind w:left="360"/>
              <w:jc w:val="right"/>
              <w:rPr>
                <w:rFonts w:ascii="Times New Roman" w:hAnsi="Times New Roman" w:cs="Times New Roman"/>
                <w:color w:val="000000"/>
              </w:rPr>
            </w:pPr>
            <w:r w:rsidRPr="00421266">
              <w:rPr>
                <w:rFonts w:ascii="Times New Roman" w:hAnsi="Times New Roman" w:cs="Times New Roman"/>
                <w:color w:val="000000"/>
              </w:rPr>
              <w:t>18</w:t>
            </w:r>
            <w:r w:rsidR="002F4B31">
              <w:rPr>
                <w:rFonts w:ascii="Times New Roman" w:hAnsi="Times New Roman" w:cs="Times New Roman"/>
                <w:color w:val="000000"/>
              </w:rPr>
              <w:t> </w:t>
            </w:r>
            <w:r w:rsidRPr="00421266">
              <w:rPr>
                <w:rFonts w:ascii="Times New Roman" w:hAnsi="Times New Roman" w:cs="Times New Roman"/>
                <w:color w:val="000000"/>
              </w:rPr>
              <w:t>909</w:t>
            </w:r>
            <w:r w:rsidR="002F4B31">
              <w:rPr>
                <w:rFonts w:ascii="Times New Roman" w:hAnsi="Times New Roman" w:cs="Times New Roman"/>
                <w:color w:val="000000"/>
              </w:rPr>
              <w:t>,3</w:t>
            </w:r>
          </w:p>
        </w:tc>
      </w:tr>
      <w:tr w:rsidR="00A73803" w:rsidRPr="00421266" w:rsidTr="002F4B31">
        <w:trPr>
          <w:trHeight w:val="300"/>
        </w:trPr>
        <w:tc>
          <w:tcPr>
            <w:tcW w:w="4323" w:type="dxa"/>
            <w:tcBorders>
              <w:top w:val="single" w:sz="4" w:space="0" w:color="auto"/>
              <w:left w:val="single" w:sz="4" w:space="0" w:color="auto"/>
              <w:bottom w:val="single" w:sz="4" w:space="0" w:color="auto"/>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Kincstári kívüli forintszámla OTP Lakásalap</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3803" w:rsidRPr="00421266" w:rsidRDefault="00A73803" w:rsidP="00BA4AC9">
            <w:pPr>
              <w:spacing w:before="60" w:after="60" w:line="240" w:lineRule="auto"/>
              <w:ind w:left="360"/>
              <w:jc w:val="right"/>
              <w:rPr>
                <w:rFonts w:ascii="Times New Roman" w:hAnsi="Times New Roman" w:cs="Times New Roman"/>
                <w:color w:val="000000"/>
              </w:rPr>
            </w:pPr>
            <w:r w:rsidRPr="00421266">
              <w:rPr>
                <w:rFonts w:ascii="Times New Roman" w:hAnsi="Times New Roman" w:cs="Times New Roman"/>
                <w:color w:val="000000"/>
              </w:rPr>
              <w:t>47</w:t>
            </w:r>
            <w:r w:rsidR="002F4B31">
              <w:rPr>
                <w:rFonts w:ascii="Times New Roman" w:hAnsi="Times New Roman" w:cs="Times New Roman"/>
                <w:color w:val="000000"/>
              </w:rPr>
              <w:t>,8</w:t>
            </w:r>
          </w:p>
        </w:tc>
      </w:tr>
      <w:tr w:rsidR="00A73803" w:rsidRPr="00421266" w:rsidTr="002F4B31">
        <w:trPr>
          <w:trHeight w:val="300"/>
        </w:trPr>
        <w:tc>
          <w:tcPr>
            <w:tcW w:w="4323" w:type="dxa"/>
            <w:tcBorders>
              <w:top w:val="single" w:sz="4" w:space="0" w:color="auto"/>
              <w:left w:val="single" w:sz="4" w:space="0" w:color="auto"/>
              <w:bottom w:val="single" w:sz="4" w:space="0" w:color="auto"/>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Forintszámlák mindösszesen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3803" w:rsidRPr="00421266" w:rsidRDefault="002F4B31" w:rsidP="00BA4AC9">
            <w:pPr>
              <w:spacing w:before="60" w:after="60" w:line="240" w:lineRule="auto"/>
              <w:ind w:left="360"/>
              <w:jc w:val="right"/>
              <w:rPr>
                <w:rFonts w:ascii="Times New Roman" w:hAnsi="Times New Roman" w:cs="Times New Roman"/>
                <w:color w:val="000000"/>
              </w:rPr>
            </w:pPr>
            <w:r>
              <w:rPr>
                <w:rFonts w:ascii="Times New Roman" w:hAnsi="Times New Roman" w:cs="Times New Roman"/>
                <w:color w:val="000000"/>
              </w:rPr>
              <w:t>18 957,1</w:t>
            </w:r>
          </w:p>
        </w:tc>
      </w:tr>
      <w:tr w:rsidR="00A73803" w:rsidRPr="00421266" w:rsidTr="002F4B31">
        <w:trPr>
          <w:trHeight w:val="300"/>
        </w:trPr>
        <w:tc>
          <w:tcPr>
            <w:tcW w:w="4323" w:type="dxa"/>
            <w:tcBorders>
              <w:top w:val="single" w:sz="4" w:space="0" w:color="auto"/>
              <w:left w:val="single" w:sz="4" w:space="0" w:color="auto"/>
              <w:bottom w:val="single" w:sz="4" w:space="0" w:color="auto"/>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color w:val="000000"/>
              </w:rPr>
            </w:pPr>
            <w:r w:rsidRPr="00421266">
              <w:rPr>
                <w:rFonts w:ascii="Times New Roman" w:hAnsi="Times New Roman" w:cs="Times New Roman"/>
                <w:color w:val="000000"/>
              </w:rPr>
              <w:t>. Kincstári devizaszámlák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3803" w:rsidRPr="00421266" w:rsidRDefault="002F4B31" w:rsidP="00BA4AC9">
            <w:pPr>
              <w:spacing w:before="60" w:after="60" w:line="240" w:lineRule="auto"/>
              <w:ind w:left="360"/>
              <w:jc w:val="right"/>
              <w:rPr>
                <w:rFonts w:ascii="Times New Roman" w:hAnsi="Times New Roman" w:cs="Times New Roman"/>
                <w:color w:val="000000"/>
              </w:rPr>
            </w:pPr>
            <w:r>
              <w:rPr>
                <w:rFonts w:ascii="Times New Roman" w:hAnsi="Times New Roman" w:cs="Times New Roman"/>
                <w:color w:val="000000"/>
              </w:rPr>
              <w:t>2 070,5</w:t>
            </w:r>
          </w:p>
        </w:tc>
      </w:tr>
      <w:tr w:rsidR="00A73803" w:rsidRPr="00421266" w:rsidTr="002F4B31">
        <w:trPr>
          <w:trHeight w:val="300"/>
        </w:trPr>
        <w:tc>
          <w:tcPr>
            <w:tcW w:w="4323" w:type="dxa"/>
            <w:tcBorders>
              <w:top w:val="single" w:sz="4" w:space="0" w:color="auto"/>
              <w:left w:val="single" w:sz="4" w:space="0" w:color="auto"/>
              <w:bottom w:val="single" w:sz="4" w:space="0" w:color="auto"/>
              <w:right w:val="nil"/>
            </w:tcBorders>
            <w:shd w:val="clear" w:color="auto" w:fill="auto"/>
            <w:noWrap/>
            <w:vAlign w:val="bottom"/>
          </w:tcPr>
          <w:p w:rsidR="00A73803" w:rsidRPr="00421266" w:rsidRDefault="00A73803" w:rsidP="00BA4AC9">
            <w:pPr>
              <w:spacing w:before="60" w:after="60" w:line="240" w:lineRule="auto"/>
              <w:jc w:val="both"/>
              <w:rPr>
                <w:rFonts w:ascii="Times New Roman" w:hAnsi="Times New Roman" w:cs="Times New Roman"/>
                <w:b/>
                <w:color w:val="000000"/>
              </w:rPr>
            </w:pPr>
            <w:r w:rsidRPr="00421266">
              <w:rPr>
                <w:rFonts w:ascii="Times New Roman" w:hAnsi="Times New Roman" w:cs="Times New Roman"/>
                <w:b/>
                <w:color w:val="000000"/>
              </w:rPr>
              <w:t>Pénzeszközök 2020.12.31.-én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3803" w:rsidRPr="00421266" w:rsidRDefault="002F4B31" w:rsidP="00BA4AC9">
            <w:pPr>
              <w:spacing w:before="60" w:after="60" w:line="240" w:lineRule="auto"/>
              <w:ind w:left="360"/>
              <w:jc w:val="right"/>
              <w:rPr>
                <w:rFonts w:ascii="Times New Roman" w:hAnsi="Times New Roman" w:cs="Times New Roman"/>
                <w:b/>
                <w:color w:val="000000"/>
              </w:rPr>
            </w:pPr>
            <w:r>
              <w:rPr>
                <w:rFonts w:ascii="Times New Roman" w:hAnsi="Times New Roman" w:cs="Times New Roman"/>
                <w:b/>
                <w:color w:val="000000"/>
              </w:rPr>
              <w:t>21 027,6</w:t>
            </w:r>
          </w:p>
        </w:tc>
      </w:tr>
    </w:tbl>
    <w:p w:rsidR="00A73803" w:rsidRPr="00221CF5" w:rsidRDefault="00A73803" w:rsidP="002F4B31">
      <w:pPr>
        <w:spacing w:before="240" w:after="60"/>
        <w:jc w:val="both"/>
        <w:rPr>
          <w:rFonts w:ascii="Times New Roman" w:eastAsia="Times New Roman" w:hAnsi="Times New Roman" w:cs="Times New Roman"/>
          <w:b/>
          <w:sz w:val="24"/>
          <w:szCs w:val="24"/>
          <w:lang w:eastAsia="hu-HU"/>
        </w:rPr>
      </w:pPr>
      <w:r w:rsidRPr="00221CF5">
        <w:rPr>
          <w:rFonts w:ascii="Times New Roman" w:eastAsia="Times New Roman" w:hAnsi="Times New Roman" w:cs="Times New Roman"/>
          <w:b/>
          <w:sz w:val="24"/>
          <w:szCs w:val="24"/>
          <w:lang w:eastAsia="hu-HU"/>
        </w:rPr>
        <w:t xml:space="preserve">II.3 A személyi juttatások és az átlaglétszám alakulása </w:t>
      </w:r>
    </w:p>
    <w:p w:rsidR="00A73803" w:rsidRPr="00221CF5" w:rsidRDefault="00A73803" w:rsidP="00A73803">
      <w:pPr>
        <w:tabs>
          <w:tab w:val="left" w:pos="284"/>
          <w:tab w:val="left" w:pos="567"/>
        </w:tabs>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2020. évi személyi juttatások kiadásai 21 569,6 mFt-ot tettek ki. Ez az összeg 444,6 mFt-tal több mint a 2019. évben személyi juttatásokra kifizetett összeg, a 2019. évi ki</w:t>
      </w:r>
      <w:r w:rsidR="00421266">
        <w:rPr>
          <w:rFonts w:ascii="Times New Roman" w:eastAsia="Times New Roman" w:hAnsi="Times New Roman" w:cs="Times New Roman"/>
          <w:sz w:val="24"/>
          <w:szCs w:val="24"/>
          <w:lang w:eastAsia="hu-HU"/>
        </w:rPr>
        <w:t xml:space="preserve">fizetés 102,1 %-ának felel meg. </w:t>
      </w:r>
      <w:r w:rsidRPr="00221CF5">
        <w:rPr>
          <w:rFonts w:ascii="Times New Roman" w:eastAsia="Times New Roman" w:hAnsi="Times New Roman" w:cs="Times New Roman"/>
          <w:sz w:val="24"/>
          <w:szCs w:val="24"/>
          <w:lang w:eastAsia="hu-HU"/>
        </w:rPr>
        <w:t>Ezen belül:</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törvény szerinti illetményekre kifizetett összeg a 2019. évi kifizetések 104,0 %-ának felel meg, a 4,0 %-os növekedést részben a pedagógus életpálya kapcsán tovább emelkedett bérek, részben az oktató-kutatók bérének növelése és a kötelező előrelépések indokolják,</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jutalmakra az eredeti előirányzatban nem terveztünk, ezen a jogcímen év közben 80,7 mFt-ot, azaz 35,0 mFt-tal kevesebbet fizettünk ki, mint a 2019. évben,</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túlórára, helyettesítésre fordított összeg 43,3 %-kal csökkent az előző évhez képest,</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költségtérítések kiadásai 21,5 %-kal csökkentek, mely legfőbb oka az otthoni munkavégzés révén csökkentek a munkába járási költségtérítések,</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lakhatási és szociális juttatásokra 59,9 mFt került kifizetésre, mely 73,4 %-kal több, mint az előző évben teljesített kifizetés,</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lastRenderedPageBreak/>
        <w:t>az egyéb jogviszonyú nem saját dolgozónak kifizetett juttatásokra fordított összegek 177,4 mFt-tal, azaz 12,6 %-kal csökkentek a 2018. évi kiadásokhoz képest,</w:t>
      </w:r>
    </w:p>
    <w:p w:rsidR="00A73803" w:rsidRPr="00221CF5" w:rsidRDefault="00A73803" w:rsidP="00421266">
      <w:pPr>
        <w:numPr>
          <w:ilvl w:val="0"/>
          <w:numId w:val="38"/>
        </w:numPr>
        <w:tabs>
          <w:tab w:val="left" w:pos="284"/>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foglalkoztatottak egyéb személyi juttatásai 68,9 mFt-tal (18,6 %-kal) emelkedtek az előző évhez viszonyítva.</w:t>
      </w:r>
    </w:p>
    <w:p w:rsidR="00A73803" w:rsidRPr="002F4B31" w:rsidRDefault="00A73803" w:rsidP="002F4B31">
      <w:pPr>
        <w:tabs>
          <w:tab w:val="left" w:pos="284"/>
          <w:tab w:val="left" w:pos="567"/>
        </w:tabs>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Az Egyetem alkalmazottainak tényleges éves átlagos statisztikai létszáma 3 694 fő volt, mely 7 fős csökkenést jelent az előző évhe</w:t>
      </w:r>
      <w:r w:rsidR="002F4B31">
        <w:rPr>
          <w:rFonts w:ascii="Times New Roman" w:eastAsia="Times New Roman" w:hAnsi="Times New Roman" w:cs="Times New Roman"/>
          <w:sz w:val="24"/>
          <w:szCs w:val="24"/>
          <w:lang w:eastAsia="hu-HU"/>
        </w:rPr>
        <w:t>z képest a KIRA adatai alapján.</w:t>
      </w:r>
    </w:p>
    <w:p w:rsidR="00A73803" w:rsidRPr="00221CF5" w:rsidRDefault="00A73803" w:rsidP="002F4B31">
      <w:pPr>
        <w:spacing w:before="240" w:after="60"/>
        <w:jc w:val="both"/>
        <w:rPr>
          <w:rFonts w:ascii="Times New Roman" w:eastAsia="Times New Roman" w:hAnsi="Times New Roman" w:cs="Times New Roman"/>
          <w:color w:val="000000"/>
          <w:sz w:val="24"/>
          <w:szCs w:val="24"/>
          <w:lang w:eastAsia="hu-HU"/>
        </w:rPr>
      </w:pPr>
      <w:r w:rsidRPr="00221CF5">
        <w:rPr>
          <w:rFonts w:ascii="Times New Roman" w:eastAsia="Times New Roman" w:hAnsi="Times New Roman" w:cs="Times New Roman"/>
          <w:b/>
          <w:color w:val="000000"/>
          <w:sz w:val="24"/>
          <w:szCs w:val="24"/>
          <w:lang w:eastAsia="hu-HU"/>
        </w:rPr>
        <w:t>II.4  Egyéb főbb kiadási tételek alakulása</w:t>
      </w:r>
    </w:p>
    <w:p w:rsidR="00024700" w:rsidRDefault="00A73803" w:rsidP="002F4B31">
      <w:pPr>
        <w:tabs>
          <w:tab w:val="left" w:pos="284"/>
          <w:tab w:val="left" w:pos="567"/>
        </w:tabs>
        <w:spacing w:after="6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 kiadási előirányzatokra és teljesülésekre vonatkozó táblázatot a 2. sz. melléklet tartalmazza. A 2020. évi összes intézményi kiadás teljesítési adatai 3 203,0 mFt-tal nőttek a </w:t>
      </w:r>
      <w:r w:rsidR="002F4B31">
        <w:rPr>
          <w:rFonts w:ascii="Times New Roman" w:eastAsia="Times New Roman" w:hAnsi="Times New Roman" w:cs="Times New Roman"/>
          <w:sz w:val="24"/>
          <w:szCs w:val="24"/>
          <w:lang w:eastAsia="hu-HU"/>
        </w:rPr>
        <w:t xml:space="preserve">2019. évi kiadásokhoz képest. A 6,8 %-os növekedésben </w:t>
      </w:r>
      <w:r w:rsidRPr="00221CF5">
        <w:rPr>
          <w:rFonts w:ascii="Times New Roman" w:eastAsia="Times New Roman" w:hAnsi="Times New Roman" w:cs="Times New Roman"/>
          <w:sz w:val="24"/>
          <w:szCs w:val="24"/>
          <w:lang w:eastAsia="hu-HU"/>
        </w:rPr>
        <w:t>az aláb</w:t>
      </w:r>
      <w:r w:rsidR="002F4B31">
        <w:rPr>
          <w:rFonts w:ascii="Times New Roman" w:eastAsia="Times New Roman" w:hAnsi="Times New Roman" w:cs="Times New Roman"/>
          <w:sz w:val="24"/>
          <w:szCs w:val="24"/>
          <w:lang w:eastAsia="hu-HU"/>
        </w:rPr>
        <w:t>bi tényezők játszanak szerepet:</w:t>
      </w:r>
    </w:p>
    <w:p w:rsidR="00024700" w:rsidRPr="00221CF5" w:rsidRDefault="00A73803" w:rsidP="00024700">
      <w:pPr>
        <w:tabs>
          <w:tab w:val="left" w:pos="284"/>
          <w:tab w:val="left" w:pos="567"/>
        </w:tabs>
        <w:spacing w:after="0"/>
        <w:ind w:left="284" w:hanging="284"/>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 A </w:t>
      </w:r>
      <w:r w:rsidRPr="00421266">
        <w:rPr>
          <w:rFonts w:ascii="Times New Roman" w:eastAsia="Times New Roman" w:hAnsi="Times New Roman" w:cs="Times New Roman"/>
          <w:b/>
          <w:sz w:val="24"/>
          <w:szCs w:val="24"/>
          <w:lang w:eastAsia="hu-HU"/>
        </w:rPr>
        <w:t>működési kiadásainkban</w:t>
      </w:r>
      <w:r w:rsidRPr="00221CF5">
        <w:rPr>
          <w:rFonts w:ascii="Times New Roman" w:eastAsia="Times New Roman" w:hAnsi="Times New Roman" w:cs="Times New Roman"/>
          <w:sz w:val="24"/>
          <w:szCs w:val="24"/>
          <w:lang w:eastAsia="hu-HU"/>
        </w:rPr>
        <w:t xml:space="preserve"> összességében 768,3 mFt-os (1,8 %-os)  növekedés következett be, amelyet az alábbi kiadási tételek változása okozott:</w:t>
      </w:r>
    </w:p>
    <w:p w:rsidR="00A73803" w:rsidRPr="00221CF5" w:rsidRDefault="00A73803" w:rsidP="00421266">
      <w:pPr>
        <w:numPr>
          <w:ilvl w:val="0"/>
          <w:numId w:val="28"/>
        </w:numPr>
        <w:tabs>
          <w:tab w:val="left" w:pos="284"/>
          <w:tab w:val="left" w:pos="567"/>
        </w:tabs>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Növekedés tapasztalható a személyi juttatások (2,1 %), az informatikai szolgáltatások (12,6 %), bérleti díjak (9,9 %), energia és közműdíjak (14,8 %), az ÁFA kiadások (10,0 %), továbbá az ellátottak kiadásainál (17,6 %).</w:t>
      </w:r>
    </w:p>
    <w:p w:rsidR="00024700" w:rsidRPr="002F4B31" w:rsidRDefault="00A73803" w:rsidP="002F4B31">
      <w:pPr>
        <w:numPr>
          <w:ilvl w:val="0"/>
          <w:numId w:val="28"/>
        </w:numPr>
        <w:tabs>
          <w:tab w:val="left" w:pos="284"/>
          <w:tab w:val="left" w:pos="567"/>
        </w:tabs>
        <w:spacing w:after="120"/>
        <w:ind w:left="357" w:hanging="357"/>
        <w:jc w:val="both"/>
        <w:rPr>
          <w:rFonts w:ascii="Times New Roman" w:eastAsia="Times New Roman" w:hAnsi="Times New Roman" w:cs="Times New Roman"/>
          <w:sz w:val="24"/>
          <w:szCs w:val="24"/>
          <w:lang w:eastAsia="hu-HU"/>
        </w:rPr>
      </w:pPr>
      <w:r w:rsidRPr="002F4B31">
        <w:rPr>
          <w:rFonts w:ascii="Times New Roman" w:eastAsia="Times New Roman" w:hAnsi="Times New Roman" w:cs="Times New Roman"/>
          <w:sz w:val="24"/>
          <w:szCs w:val="24"/>
          <w:lang w:eastAsia="hu-HU"/>
        </w:rPr>
        <w:t>Csökkenés tapasztalható a munkaadókat terhelő járulékok (6,0 %), a kiküldetések és reklám kiadások (71,9 %), az egyéb szolgáltatások (8,5 %) és az ÁFA kiadások (5,2 %),</w:t>
      </w:r>
    </w:p>
    <w:p w:rsidR="00421266" w:rsidRDefault="00A73803" w:rsidP="002F4B31">
      <w:pPr>
        <w:tabs>
          <w:tab w:val="left" w:pos="284"/>
          <w:tab w:val="left" w:pos="567"/>
        </w:tabs>
        <w:spacing w:after="60"/>
        <w:ind w:left="284" w:hanging="284"/>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b) A </w:t>
      </w:r>
      <w:r w:rsidRPr="00421266">
        <w:rPr>
          <w:rFonts w:ascii="Times New Roman" w:eastAsia="Times New Roman" w:hAnsi="Times New Roman" w:cs="Times New Roman"/>
          <w:b/>
          <w:sz w:val="24"/>
          <w:szCs w:val="24"/>
          <w:lang w:eastAsia="hu-HU"/>
        </w:rPr>
        <w:t>felhalmozási kiadások</w:t>
      </w:r>
      <w:r w:rsidRPr="00221CF5">
        <w:rPr>
          <w:rFonts w:ascii="Times New Roman" w:eastAsia="Times New Roman" w:hAnsi="Times New Roman" w:cs="Times New Roman"/>
          <w:sz w:val="24"/>
          <w:szCs w:val="24"/>
          <w:lang w:eastAsia="hu-HU"/>
        </w:rPr>
        <w:t xml:space="preserve"> az előző évhez képest 66,6 %-os növekedésének (2 434,7 mFt)  oka, hogy 2020. januárban került átadásra a Beruházási Ügynökség részére a  Kunigunda Kollégium felújításra 2.319,0 mFt, </w:t>
      </w:r>
    </w:p>
    <w:p w:rsidR="00A73803" w:rsidRPr="002F4B31" w:rsidRDefault="00A73803" w:rsidP="002F4B31">
      <w:pPr>
        <w:tabs>
          <w:tab w:val="left" w:pos="284"/>
          <w:tab w:val="left" w:pos="567"/>
        </w:tabs>
        <w:spacing w:after="6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Az Egyetem 2020. évi vagyon- és felelősségbiztosítására 83,9 mFt-ot fizettünk ki, mely 11,4 %-kal maradt az előző évi kiadásunk alatt. Az érvényesíthető kártérítési igényeink alapján a biztosító 10,8 mFt-ot térített meg részünkre, azaz 13,7 %-kal több ká</w:t>
      </w:r>
      <w:r w:rsidR="002F4B31">
        <w:rPr>
          <w:rFonts w:ascii="Times New Roman" w:eastAsia="Times New Roman" w:hAnsi="Times New Roman" w:cs="Times New Roman"/>
          <w:sz w:val="24"/>
          <w:szCs w:val="24"/>
          <w:lang w:eastAsia="hu-HU"/>
        </w:rPr>
        <w:t xml:space="preserve">rtérítési bevételünk érkezett. </w:t>
      </w:r>
    </w:p>
    <w:p w:rsidR="00024700" w:rsidRDefault="00A73803" w:rsidP="002F4B31">
      <w:pPr>
        <w:spacing w:after="6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2020. évi energia és közmű költségekre tárg</w:t>
      </w:r>
      <w:r w:rsidR="002F4B31">
        <w:rPr>
          <w:rFonts w:ascii="Times New Roman" w:eastAsia="Times New Roman" w:hAnsi="Times New Roman" w:cs="Times New Roman"/>
          <w:sz w:val="24"/>
          <w:szCs w:val="24"/>
          <w:lang w:eastAsia="hu-HU"/>
        </w:rPr>
        <w:t xml:space="preserve">yévben kifizetett nettó összeg </w:t>
      </w:r>
      <w:r w:rsidRPr="00221CF5">
        <w:rPr>
          <w:rFonts w:ascii="Times New Roman" w:eastAsia="Times New Roman" w:hAnsi="Times New Roman" w:cs="Times New Roman"/>
          <w:sz w:val="24"/>
          <w:szCs w:val="24"/>
          <w:lang w:eastAsia="hu-HU"/>
        </w:rPr>
        <w:t>1 211,1 mFt volt, mely 14,8 %-os növekedést mutat az előző évi</w:t>
      </w:r>
      <w:r w:rsidR="002F4B31">
        <w:rPr>
          <w:rFonts w:ascii="Times New Roman" w:eastAsia="Times New Roman" w:hAnsi="Times New Roman" w:cs="Times New Roman"/>
          <w:sz w:val="24"/>
          <w:szCs w:val="24"/>
          <w:lang w:eastAsia="hu-HU"/>
        </w:rPr>
        <w:t xml:space="preserve"> teljesítési adatokhoz képest. </w:t>
      </w:r>
    </w:p>
    <w:p w:rsidR="00A73803" w:rsidRPr="00221CF5" w:rsidRDefault="00A73803" w:rsidP="00A73803">
      <w:pPr>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 2020. évi központi forrás terhére elvégeztetett karbantartási munkák a következők voltak:</w:t>
      </w:r>
    </w:p>
    <w:p w:rsidR="00A73803" w:rsidRPr="00221CF5" w:rsidRDefault="00A73803" w:rsidP="00421266">
      <w:pPr>
        <w:numPr>
          <w:ilvl w:val="0"/>
          <w:numId w:val="39"/>
        </w:numPr>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szerződések keretében: kazánok, gázégők, gázérzékelők, felvonók rendszeres karbantartása, javítása,</w:t>
      </w:r>
    </w:p>
    <w:p w:rsidR="00A73803" w:rsidRPr="00221CF5" w:rsidRDefault="00A73803" w:rsidP="00421266">
      <w:pPr>
        <w:numPr>
          <w:ilvl w:val="0"/>
          <w:numId w:val="39"/>
        </w:numPr>
        <w:spacing w:after="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rendeletek által előírt, kötelezően elvégzendő mérések: érintésvédelmi, tűzvédelmi szabványossági, villámvédelmi mérések,</w:t>
      </w:r>
    </w:p>
    <w:p w:rsidR="00A73803" w:rsidRPr="002F4B31" w:rsidRDefault="00A73803" w:rsidP="002F4B31">
      <w:pPr>
        <w:numPr>
          <w:ilvl w:val="0"/>
          <w:numId w:val="39"/>
        </w:numPr>
        <w:spacing w:after="60"/>
        <w:ind w:left="357" w:hanging="357"/>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villamos karbantartások (kapcsolóterek, fázisjavítók) és a vizsgálatok során feltárt súlyos hibák javítása.</w:t>
      </w:r>
    </w:p>
    <w:p w:rsidR="00A73803" w:rsidRPr="00221CF5" w:rsidRDefault="00A73803" w:rsidP="00A73803">
      <w:pPr>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Az előzőekben felsorolt karbantartási és javítási munkákon túl a keret terhére kerültek elvégzésre az év során bekövetkezett rendkívüli meghibásodások javítási munkái, valamint a leállással járó nyári kazánházi karbantartások. </w:t>
      </w:r>
    </w:p>
    <w:p w:rsidR="00A73803" w:rsidRPr="00221CF5" w:rsidRDefault="00A73803" w:rsidP="00A73803">
      <w:pPr>
        <w:spacing w:after="0"/>
        <w:jc w:val="both"/>
        <w:rPr>
          <w:rFonts w:ascii="Times New Roman" w:eastAsia="Times New Roman" w:hAnsi="Times New Roman" w:cs="Times New Roman"/>
          <w:b/>
          <w:sz w:val="24"/>
          <w:szCs w:val="24"/>
          <w:lang w:eastAsia="hu-HU"/>
        </w:rPr>
      </w:pPr>
    </w:p>
    <w:p w:rsidR="002F4B31" w:rsidRDefault="002F4B31">
      <w:pP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br w:type="page"/>
      </w:r>
    </w:p>
    <w:p w:rsidR="00A73803" w:rsidRPr="00421266" w:rsidRDefault="00A73803" w:rsidP="002F4B31">
      <w:pPr>
        <w:spacing w:after="60"/>
        <w:jc w:val="both"/>
        <w:rPr>
          <w:rFonts w:ascii="Times New Roman" w:eastAsia="Times New Roman" w:hAnsi="Times New Roman" w:cs="Times New Roman"/>
          <w:b/>
          <w:sz w:val="24"/>
          <w:szCs w:val="24"/>
          <w:lang w:eastAsia="hu-HU"/>
        </w:rPr>
      </w:pPr>
      <w:r w:rsidRPr="00221CF5">
        <w:rPr>
          <w:rFonts w:ascii="Times New Roman" w:eastAsia="Times New Roman" w:hAnsi="Times New Roman" w:cs="Times New Roman"/>
          <w:b/>
          <w:sz w:val="24"/>
          <w:szCs w:val="24"/>
          <w:lang w:eastAsia="hu-HU"/>
        </w:rPr>
        <w:lastRenderedPageBreak/>
        <w:t>II.5 Az intéz</w:t>
      </w:r>
      <w:r w:rsidR="00421266">
        <w:rPr>
          <w:rFonts w:ascii="Times New Roman" w:eastAsia="Times New Roman" w:hAnsi="Times New Roman" w:cs="Times New Roman"/>
          <w:b/>
          <w:sz w:val="24"/>
          <w:szCs w:val="24"/>
          <w:lang w:eastAsia="hu-HU"/>
        </w:rPr>
        <w:t>ményi saját bevételek alakulása</w:t>
      </w:r>
    </w:p>
    <w:p w:rsidR="00A73803" w:rsidRPr="00221CF5" w:rsidRDefault="00A73803" w:rsidP="00A73803">
      <w:pPr>
        <w:tabs>
          <w:tab w:val="left" w:pos="284"/>
          <w:tab w:val="left" w:pos="567"/>
        </w:tabs>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Az Egyetem teljesített </w:t>
      </w:r>
      <w:r w:rsidRPr="00421266">
        <w:rPr>
          <w:rFonts w:ascii="Times New Roman" w:eastAsia="Times New Roman" w:hAnsi="Times New Roman" w:cs="Times New Roman"/>
          <w:b/>
          <w:sz w:val="24"/>
          <w:szCs w:val="24"/>
          <w:lang w:eastAsia="hu-HU"/>
        </w:rPr>
        <w:t>saját bevétele</w:t>
      </w:r>
      <w:r w:rsidRPr="00221CF5">
        <w:rPr>
          <w:rFonts w:ascii="Times New Roman" w:eastAsia="Times New Roman" w:hAnsi="Times New Roman" w:cs="Times New Roman"/>
          <w:sz w:val="24"/>
          <w:szCs w:val="24"/>
          <w:lang w:eastAsia="hu-HU"/>
        </w:rPr>
        <w:t xml:space="preserve"> 2020-ban 37 494,2 mFt volt, a fő összegen belül 19 385,8 mFt-ot tett ki a pénzmaradvány-igénybevétel. A legnagyobb tételek az intézményi ellátási díjak és szolgáltatások ellenértéke (6 600,6 mFt), a működési célú átvett pénzeszközök (9 672,7 mFt), továbbá a felhalmozási célú átvett pénzeszközök (1 264,7 mFt). </w:t>
      </w:r>
    </w:p>
    <w:p w:rsidR="00A73803" w:rsidRPr="00221CF5" w:rsidRDefault="00A73803" w:rsidP="002F4B31">
      <w:pPr>
        <w:tabs>
          <w:tab w:val="left" w:pos="284"/>
          <w:tab w:val="left" w:pos="567"/>
        </w:tabs>
        <w:spacing w:after="60"/>
        <w:jc w:val="both"/>
        <w:rPr>
          <w:rFonts w:ascii="Times New Roman" w:eastAsia="Times New Roman" w:hAnsi="Times New Roman" w:cs="Times New Roman"/>
          <w:sz w:val="24"/>
          <w:szCs w:val="24"/>
          <w:highlight w:val="yellow"/>
          <w:lang w:eastAsia="hu-HU"/>
        </w:rPr>
      </w:pPr>
      <w:r w:rsidRPr="00221CF5">
        <w:rPr>
          <w:rFonts w:ascii="Times New Roman" w:eastAsia="Times New Roman" w:hAnsi="Times New Roman" w:cs="Times New Roman"/>
          <w:sz w:val="24"/>
          <w:szCs w:val="24"/>
          <w:lang w:eastAsia="hu-HU"/>
        </w:rPr>
        <w:t>A 2020. évi saját bevétel összege 1 916,9 mFt-tal nagyobb volt, mint a 2019. évi teljesített bevételek, ezt a növekedést 1 971,2 mFt-os értékben a működési célú pénzeszközök bevételeinek emelkedése idézte elő.</w:t>
      </w:r>
    </w:p>
    <w:p w:rsidR="00A73803" w:rsidRPr="00221CF5" w:rsidRDefault="00A73803" w:rsidP="002F4B31">
      <w:pPr>
        <w:tabs>
          <w:tab w:val="left" w:pos="284"/>
          <w:tab w:val="left" w:pos="567"/>
        </w:tabs>
        <w:spacing w:after="6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 realizált </w:t>
      </w:r>
      <w:r w:rsidRPr="00421266">
        <w:rPr>
          <w:rFonts w:ascii="Times New Roman" w:eastAsia="Times New Roman" w:hAnsi="Times New Roman" w:cs="Times New Roman"/>
          <w:b/>
          <w:sz w:val="24"/>
          <w:szCs w:val="24"/>
          <w:lang w:eastAsia="hu-HU"/>
        </w:rPr>
        <w:t>működési bevételeink</w:t>
      </w:r>
      <w:r w:rsidRPr="00221CF5">
        <w:rPr>
          <w:rFonts w:ascii="Times New Roman" w:eastAsia="Times New Roman" w:hAnsi="Times New Roman" w:cs="Times New Roman"/>
          <w:sz w:val="24"/>
          <w:szCs w:val="24"/>
          <w:lang w:eastAsia="hu-HU"/>
        </w:rPr>
        <w:t xml:space="preserve"> 258,6 mFt-tal csökkentek, melyet az ellátotti bevételek 62,5 mFt-os, a továbbszámlázott szolgáltatások 14,3 mFt-os és a bérleti díjbevételek 149,9 mFt-os, valamint az ÁFA bevételek 20,0 mFt-os csökkenése idézett elő. </w:t>
      </w:r>
    </w:p>
    <w:p w:rsidR="00A73803" w:rsidRPr="00221CF5" w:rsidRDefault="00A73803" w:rsidP="002F4B31">
      <w:pPr>
        <w:tabs>
          <w:tab w:val="left" w:pos="284"/>
          <w:tab w:val="left" w:pos="567"/>
        </w:tabs>
        <w:spacing w:after="6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 xml:space="preserve">A realizált </w:t>
      </w:r>
      <w:r w:rsidRPr="00421266">
        <w:rPr>
          <w:rFonts w:ascii="Times New Roman" w:eastAsia="Times New Roman" w:hAnsi="Times New Roman" w:cs="Times New Roman"/>
          <w:b/>
          <w:sz w:val="24"/>
          <w:szCs w:val="24"/>
          <w:lang w:eastAsia="hu-HU"/>
        </w:rPr>
        <w:t>felhalmozási bevételeink</w:t>
      </w:r>
      <w:r w:rsidRPr="00221CF5">
        <w:rPr>
          <w:rFonts w:ascii="Times New Roman" w:eastAsia="Times New Roman" w:hAnsi="Times New Roman" w:cs="Times New Roman"/>
          <w:sz w:val="24"/>
          <w:szCs w:val="24"/>
          <w:lang w:eastAsia="hu-HU"/>
        </w:rPr>
        <w:t xml:space="preserve"> 481,2 mFt-tal emelkedtek a 2019. évhez képest, mely az államháztartáson belülről átvett pályázati pénzeszközökből származott. </w:t>
      </w:r>
    </w:p>
    <w:p w:rsidR="00A73803" w:rsidRPr="00221CF5" w:rsidRDefault="00A73803" w:rsidP="00A73803">
      <w:pPr>
        <w:tabs>
          <w:tab w:val="left" w:pos="284"/>
          <w:tab w:val="left" w:pos="567"/>
        </w:tabs>
        <w:spacing w:after="0"/>
        <w:jc w:val="both"/>
        <w:rPr>
          <w:rFonts w:ascii="Times New Roman" w:eastAsia="Times New Roman" w:hAnsi="Times New Roman" w:cs="Times New Roman"/>
          <w:sz w:val="24"/>
          <w:szCs w:val="24"/>
          <w:lang w:eastAsia="hu-HU"/>
        </w:rPr>
      </w:pPr>
      <w:r w:rsidRPr="00421266">
        <w:rPr>
          <w:rFonts w:ascii="Times New Roman" w:eastAsia="Times New Roman" w:hAnsi="Times New Roman" w:cs="Times New Roman"/>
          <w:b/>
          <w:sz w:val="24"/>
          <w:szCs w:val="24"/>
          <w:lang w:eastAsia="hu-HU"/>
        </w:rPr>
        <w:t>Ellátási díjak és szolgáltatások</w:t>
      </w:r>
      <w:r w:rsidRPr="00221CF5">
        <w:rPr>
          <w:rFonts w:ascii="Times New Roman" w:eastAsia="Times New Roman" w:hAnsi="Times New Roman" w:cs="Times New Roman"/>
          <w:sz w:val="24"/>
          <w:szCs w:val="24"/>
          <w:lang w:eastAsia="hu-HU"/>
        </w:rPr>
        <w:t xml:space="preserve"> ellenértéke (bérleti díjak nélkül) jogcímen befolyt bevételek – a 2019. évhez képest 1,0 %-os csökkenést mutat - legfőbb jogcímeinek részletezését az alábbiakban mutatjuk be.</w:t>
      </w:r>
    </w:p>
    <w:tbl>
      <w:tblPr>
        <w:tblpPr w:leftFromText="141" w:rightFromText="141" w:vertAnchor="text" w:tblpX="70" w:tblpY="1"/>
        <w:tblOverlap w:val="never"/>
        <w:tblW w:w="9142" w:type="dxa"/>
        <w:tblCellMar>
          <w:left w:w="70" w:type="dxa"/>
          <w:right w:w="70" w:type="dxa"/>
        </w:tblCellMar>
        <w:tblLook w:val="0000" w:firstRow="0" w:lastRow="0" w:firstColumn="0" w:lastColumn="0" w:noHBand="0" w:noVBand="0"/>
      </w:tblPr>
      <w:tblGrid>
        <w:gridCol w:w="4111"/>
        <w:gridCol w:w="1771"/>
        <w:gridCol w:w="1701"/>
        <w:gridCol w:w="1559"/>
      </w:tblGrid>
      <w:tr w:rsidR="00024700" w:rsidRPr="00024700" w:rsidTr="00966C11">
        <w:trPr>
          <w:trHeight w:val="317"/>
        </w:trPr>
        <w:tc>
          <w:tcPr>
            <w:tcW w:w="4111" w:type="dxa"/>
            <w:vMerge w:val="restart"/>
            <w:tcBorders>
              <w:top w:val="single" w:sz="4" w:space="0" w:color="auto"/>
              <w:left w:val="single" w:sz="4" w:space="0" w:color="auto"/>
              <w:bottom w:val="single" w:sz="4" w:space="0" w:color="000000"/>
              <w:right w:val="single" w:sz="4" w:space="0" w:color="auto"/>
            </w:tcBorders>
            <w:noWrap/>
            <w:vAlign w:val="center"/>
          </w:tcPr>
          <w:p w:rsidR="00A73803" w:rsidRPr="00024700" w:rsidRDefault="00A73803" w:rsidP="002F4B31">
            <w:pPr>
              <w:spacing w:after="0" w:line="240" w:lineRule="auto"/>
              <w:jc w:val="center"/>
              <w:rPr>
                <w:rFonts w:ascii="Times New Roman" w:eastAsia="Times New Roman" w:hAnsi="Times New Roman" w:cs="Times New Roman"/>
                <w:b/>
                <w:bCs/>
                <w:lang w:eastAsia="hu-HU"/>
              </w:rPr>
            </w:pPr>
            <w:r w:rsidRPr="00024700">
              <w:rPr>
                <w:rFonts w:ascii="Times New Roman" w:eastAsia="Times New Roman" w:hAnsi="Times New Roman" w:cs="Times New Roman"/>
                <w:b/>
                <w:bCs/>
                <w:lang w:eastAsia="hu-HU"/>
              </w:rPr>
              <w:t>Jogcím</w:t>
            </w:r>
          </w:p>
        </w:tc>
        <w:tc>
          <w:tcPr>
            <w:tcW w:w="1771" w:type="dxa"/>
            <w:vMerge w:val="restart"/>
            <w:tcBorders>
              <w:top w:val="single" w:sz="4" w:space="0" w:color="auto"/>
              <w:left w:val="single" w:sz="4" w:space="0" w:color="auto"/>
              <w:bottom w:val="single" w:sz="4" w:space="0" w:color="auto"/>
              <w:right w:val="single" w:sz="4" w:space="0" w:color="auto"/>
            </w:tcBorders>
            <w:vAlign w:val="center"/>
          </w:tcPr>
          <w:p w:rsidR="00A73803" w:rsidRPr="007D47A5" w:rsidRDefault="002F4B31" w:rsidP="002F4B31">
            <w:pPr>
              <w:spacing w:after="0" w:line="240" w:lineRule="auto"/>
              <w:jc w:val="center"/>
              <w:rPr>
                <w:rFonts w:ascii="Times New Roman" w:eastAsia="Times New Roman" w:hAnsi="Times New Roman" w:cs="Times New Roman"/>
                <w:bCs/>
                <w:lang w:eastAsia="hu-HU"/>
              </w:rPr>
            </w:pPr>
            <w:r w:rsidRPr="007D47A5">
              <w:rPr>
                <w:rFonts w:ascii="Times New Roman" w:eastAsia="Times New Roman" w:hAnsi="Times New Roman" w:cs="Times New Roman"/>
                <w:b/>
                <w:bCs/>
                <w:lang w:eastAsia="hu-HU"/>
              </w:rPr>
              <w:t>2019. évi teljesítés</w:t>
            </w:r>
            <w:r w:rsidRPr="007D47A5">
              <w:rPr>
                <w:rFonts w:ascii="Times New Roman" w:eastAsia="Times New Roman" w:hAnsi="Times New Roman" w:cs="Times New Roman"/>
                <w:bCs/>
                <w:lang w:eastAsia="hu-HU"/>
              </w:rPr>
              <w:t xml:space="preserve"> </w:t>
            </w:r>
            <w:r w:rsidR="007D47A5" w:rsidRPr="007D47A5">
              <w:rPr>
                <w:rFonts w:ascii="Times New Roman" w:eastAsia="Times New Roman" w:hAnsi="Times New Roman" w:cs="Times New Roman"/>
                <w:bCs/>
                <w:lang w:eastAsia="hu-HU"/>
              </w:rPr>
              <w:t>(</w:t>
            </w:r>
            <w:r w:rsidR="00A73803" w:rsidRPr="007D47A5">
              <w:rPr>
                <w:rFonts w:ascii="Times New Roman" w:eastAsia="Times New Roman" w:hAnsi="Times New Roman" w:cs="Times New Roman"/>
                <w:bCs/>
                <w:lang w:eastAsia="hu-HU"/>
              </w:rPr>
              <w:t>mFt</w:t>
            </w:r>
            <w:r w:rsidR="007D47A5" w:rsidRPr="007D47A5">
              <w:rPr>
                <w:rFonts w:ascii="Times New Roman" w:eastAsia="Times New Roman" w:hAnsi="Times New Roman" w:cs="Times New Roman"/>
                <w:bCs/>
                <w:lang w:eastAsia="hu-HU"/>
              </w:rPr>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73803" w:rsidRPr="007D47A5" w:rsidRDefault="002F4B31" w:rsidP="002F4B31">
            <w:pPr>
              <w:spacing w:after="0" w:line="240" w:lineRule="auto"/>
              <w:jc w:val="center"/>
              <w:rPr>
                <w:rFonts w:ascii="Times New Roman" w:eastAsia="Times New Roman" w:hAnsi="Times New Roman" w:cs="Times New Roman"/>
                <w:bCs/>
                <w:lang w:eastAsia="hu-HU"/>
              </w:rPr>
            </w:pPr>
            <w:r w:rsidRPr="007D47A5">
              <w:rPr>
                <w:rFonts w:ascii="Times New Roman" w:eastAsia="Times New Roman" w:hAnsi="Times New Roman" w:cs="Times New Roman"/>
                <w:b/>
                <w:bCs/>
                <w:lang w:eastAsia="hu-HU"/>
              </w:rPr>
              <w:t xml:space="preserve">2020. évi teljesítés </w:t>
            </w:r>
            <w:r w:rsidR="007D47A5" w:rsidRPr="007D47A5">
              <w:rPr>
                <w:rFonts w:ascii="Times New Roman" w:eastAsia="Times New Roman" w:hAnsi="Times New Roman" w:cs="Times New Roman"/>
                <w:bCs/>
                <w:lang w:eastAsia="hu-HU"/>
              </w:rPr>
              <w:t>(</w:t>
            </w:r>
            <w:r w:rsidR="00A73803" w:rsidRPr="007D47A5">
              <w:rPr>
                <w:rFonts w:ascii="Times New Roman" w:eastAsia="Times New Roman" w:hAnsi="Times New Roman" w:cs="Times New Roman"/>
                <w:bCs/>
                <w:lang w:eastAsia="hu-HU"/>
              </w:rPr>
              <w:t>mFt</w:t>
            </w:r>
            <w:r w:rsidR="007D47A5" w:rsidRPr="007D47A5">
              <w:rPr>
                <w:rFonts w:ascii="Times New Roman" w:eastAsia="Times New Roman" w:hAnsi="Times New Roman" w:cs="Times New Roman"/>
                <w:bCs/>
                <w:lang w:eastAsia="hu-HU"/>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73803" w:rsidRPr="00024700" w:rsidRDefault="002F4B31" w:rsidP="002F4B31">
            <w:pPr>
              <w:spacing w:after="0" w:line="240" w:lineRule="auto"/>
              <w:jc w:val="center"/>
              <w:rPr>
                <w:rFonts w:ascii="Times New Roman" w:eastAsia="Times New Roman" w:hAnsi="Times New Roman" w:cs="Times New Roman"/>
                <w:b/>
                <w:bCs/>
                <w:lang w:eastAsia="hu-HU"/>
              </w:rPr>
            </w:pPr>
            <w:r>
              <w:rPr>
                <w:rFonts w:ascii="Times New Roman" w:eastAsia="Times New Roman" w:hAnsi="Times New Roman" w:cs="Times New Roman"/>
                <w:b/>
                <w:bCs/>
                <w:lang w:eastAsia="hu-HU"/>
              </w:rPr>
              <w:t xml:space="preserve">Teljesítés </w:t>
            </w:r>
            <w:r w:rsidR="00024700">
              <w:rPr>
                <w:rFonts w:ascii="Times New Roman" w:eastAsia="Times New Roman" w:hAnsi="Times New Roman" w:cs="Times New Roman"/>
                <w:b/>
                <w:bCs/>
                <w:lang w:eastAsia="hu-HU"/>
              </w:rPr>
              <w:t xml:space="preserve">indexe </w:t>
            </w:r>
          </w:p>
        </w:tc>
      </w:tr>
      <w:tr w:rsidR="00024700" w:rsidRPr="00024700" w:rsidTr="00966C11">
        <w:trPr>
          <w:trHeight w:val="373"/>
        </w:trPr>
        <w:tc>
          <w:tcPr>
            <w:tcW w:w="4111" w:type="dxa"/>
            <w:vMerge/>
            <w:tcBorders>
              <w:top w:val="single" w:sz="4" w:space="0" w:color="auto"/>
              <w:left w:val="single" w:sz="4" w:space="0" w:color="auto"/>
              <w:bottom w:val="single" w:sz="4" w:space="0" w:color="000000"/>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771"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r>
      <w:tr w:rsidR="00024700" w:rsidRPr="00024700" w:rsidTr="00966C11">
        <w:trPr>
          <w:trHeight w:val="313"/>
        </w:trPr>
        <w:tc>
          <w:tcPr>
            <w:tcW w:w="4111" w:type="dxa"/>
            <w:vMerge/>
            <w:tcBorders>
              <w:top w:val="single" w:sz="4" w:space="0" w:color="auto"/>
              <w:left w:val="single" w:sz="4" w:space="0" w:color="auto"/>
              <w:bottom w:val="single" w:sz="4" w:space="0" w:color="000000"/>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771"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p>
        </w:tc>
      </w:tr>
      <w:tr w:rsidR="00024700" w:rsidRPr="00024700" w:rsidTr="00966C11">
        <w:trPr>
          <w:trHeight w:val="255"/>
        </w:trPr>
        <w:tc>
          <w:tcPr>
            <w:tcW w:w="411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both"/>
              <w:rPr>
                <w:rFonts w:ascii="Times New Roman" w:eastAsia="Times New Roman" w:hAnsi="Times New Roman" w:cs="Times New Roman"/>
                <w:b/>
                <w:bCs/>
                <w:lang w:eastAsia="hu-HU"/>
              </w:rPr>
            </w:pPr>
            <w:r w:rsidRPr="00024700">
              <w:rPr>
                <w:rFonts w:ascii="Times New Roman" w:eastAsia="Times New Roman" w:hAnsi="Times New Roman" w:cs="Times New Roman"/>
                <w:b/>
                <w:bCs/>
                <w:lang w:eastAsia="hu-HU"/>
              </w:rPr>
              <w:t>Ellátási díjak és szolgáltatások ellenértéke (bérleti díjak nélkül)</w:t>
            </w:r>
          </w:p>
        </w:tc>
        <w:tc>
          <w:tcPr>
            <w:tcW w:w="1771" w:type="dxa"/>
            <w:tcBorders>
              <w:top w:val="single" w:sz="4" w:space="0" w:color="auto"/>
              <w:left w:val="single" w:sz="4" w:space="0" w:color="auto"/>
              <w:bottom w:val="single" w:sz="4" w:space="0" w:color="auto"/>
              <w:right w:val="single" w:sz="4" w:space="0" w:color="auto"/>
            </w:tcBorders>
            <w:noWrap/>
            <w:vAlign w:val="center"/>
          </w:tcPr>
          <w:p w:rsidR="00A73803" w:rsidRPr="00024700" w:rsidRDefault="00A73803" w:rsidP="002F4B31">
            <w:pPr>
              <w:spacing w:before="60" w:after="0" w:line="240" w:lineRule="auto"/>
              <w:jc w:val="right"/>
              <w:rPr>
                <w:rFonts w:ascii="Times New Roman" w:eastAsia="Times New Roman" w:hAnsi="Times New Roman" w:cs="Times New Roman"/>
                <w:b/>
                <w:bCs/>
                <w:lang w:eastAsia="hu-HU"/>
              </w:rPr>
            </w:pPr>
            <w:r w:rsidRPr="00024700">
              <w:rPr>
                <w:rFonts w:ascii="Times New Roman" w:eastAsia="Times New Roman" w:hAnsi="Times New Roman" w:cs="Times New Roman"/>
                <w:b/>
                <w:bCs/>
                <w:lang w:eastAsia="hu-HU"/>
              </w:rPr>
              <w:t>6 481,7</w:t>
            </w:r>
          </w:p>
        </w:tc>
        <w:tc>
          <w:tcPr>
            <w:tcW w:w="1701" w:type="dxa"/>
            <w:tcBorders>
              <w:top w:val="single" w:sz="4" w:space="0" w:color="auto"/>
              <w:left w:val="single" w:sz="4" w:space="0" w:color="auto"/>
              <w:bottom w:val="single" w:sz="4" w:space="0" w:color="auto"/>
              <w:right w:val="single" w:sz="4" w:space="0" w:color="auto"/>
            </w:tcBorders>
            <w:noWrap/>
            <w:vAlign w:val="center"/>
          </w:tcPr>
          <w:p w:rsidR="00A73803" w:rsidRPr="00024700" w:rsidRDefault="00A73803" w:rsidP="002F4B31">
            <w:pPr>
              <w:spacing w:before="60" w:after="0" w:line="240" w:lineRule="auto"/>
              <w:jc w:val="right"/>
              <w:rPr>
                <w:rFonts w:ascii="Times New Roman" w:eastAsia="Times New Roman" w:hAnsi="Times New Roman" w:cs="Times New Roman"/>
                <w:b/>
                <w:bCs/>
                <w:lang w:eastAsia="hu-HU"/>
              </w:rPr>
            </w:pPr>
            <w:r w:rsidRPr="00024700">
              <w:rPr>
                <w:rFonts w:ascii="Times New Roman" w:eastAsia="Times New Roman" w:hAnsi="Times New Roman" w:cs="Times New Roman"/>
                <w:b/>
                <w:bCs/>
                <w:lang w:eastAsia="hu-HU"/>
              </w:rPr>
              <w:t>6 419,2</w:t>
            </w:r>
          </w:p>
        </w:tc>
        <w:tc>
          <w:tcPr>
            <w:tcW w:w="1559" w:type="dxa"/>
            <w:tcBorders>
              <w:top w:val="single" w:sz="4" w:space="0" w:color="auto"/>
              <w:left w:val="single" w:sz="4" w:space="0" w:color="auto"/>
              <w:bottom w:val="single" w:sz="4" w:space="0" w:color="auto"/>
              <w:right w:val="single" w:sz="4" w:space="0" w:color="auto"/>
            </w:tcBorders>
            <w:noWrap/>
            <w:vAlign w:val="center"/>
          </w:tcPr>
          <w:p w:rsidR="00A73803" w:rsidRPr="00024700" w:rsidRDefault="00A73803" w:rsidP="002F4B31">
            <w:pPr>
              <w:spacing w:before="60" w:after="0" w:line="240" w:lineRule="auto"/>
              <w:jc w:val="right"/>
              <w:rPr>
                <w:rFonts w:ascii="Times New Roman" w:eastAsia="Times New Roman" w:hAnsi="Times New Roman" w:cs="Times New Roman"/>
                <w:b/>
                <w:bCs/>
                <w:lang w:eastAsia="hu-HU"/>
              </w:rPr>
            </w:pPr>
            <w:r w:rsidRPr="00024700">
              <w:rPr>
                <w:rFonts w:ascii="Times New Roman" w:eastAsia="Times New Roman" w:hAnsi="Times New Roman" w:cs="Times New Roman"/>
                <w:b/>
                <w:bCs/>
                <w:lang w:eastAsia="hu-HU"/>
              </w:rPr>
              <w:t>99,0 %</w:t>
            </w:r>
          </w:p>
        </w:tc>
      </w:tr>
      <w:tr w:rsidR="00024700" w:rsidRPr="00024700" w:rsidTr="00966C11">
        <w:trPr>
          <w:trHeight w:val="255"/>
        </w:trPr>
        <w:tc>
          <w:tcPr>
            <w:tcW w:w="411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both"/>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Ellátotti bevételek (hallgatói költségtérítés, kollégium, étkezés, stb.)</w:t>
            </w:r>
          </w:p>
        </w:tc>
        <w:tc>
          <w:tcPr>
            <w:tcW w:w="177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6 196,2</w:t>
            </w:r>
          </w:p>
        </w:tc>
        <w:tc>
          <w:tcPr>
            <w:tcW w:w="170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6 014,1</w:t>
            </w:r>
          </w:p>
        </w:tc>
        <w:tc>
          <w:tcPr>
            <w:tcW w:w="1559"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97,1 %</w:t>
            </w:r>
          </w:p>
        </w:tc>
      </w:tr>
      <w:tr w:rsidR="00024700" w:rsidRPr="00024700" w:rsidTr="00966C11">
        <w:trPr>
          <w:trHeight w:val="255"/>
        </w:trPr>
        <w:tc>
          <w:tcPr>
            <w:tcW w:w="411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both"/>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Szolgáltatások (önköltséges tanfolyamok, kutatások) szabad kapacitásának bevétele</w:t>
            </w:r>
          </w:p>
        </w:tc>
        <w:tc>
          <w:tcPr>
            <w:tcW w:w="177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285,5</w:t>
            </w:r>
          </w:p>
        </w:tc>
        <w:tc>
          <w:tcPr>
            <w:tcW w:w="1701"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405,1</w:t>
            </w:r>
          </w:p>
        </w:tc>
        <w:tc>
          <w:tcPr>
            <w:tcW w:w="1559" w:type="dxa"/>
            <w:tcBorders>
              <w:top w:val="single" w:sz="4" w:space="0" w:color="auto"/>
              <w:left w:val="single" w:sz="4" w:space="0" w:color="auto"/>
              <w:bottom w:val="single" w:sz="4" w:space="0" w:color="auto"/>
              <w:right w:val="single" w:sz="4" w:space="0" w:color="auto"/>
            </w:tcBorders>
            <w:noWrap/>
            <w:vAlign w:val="bottom"/>
          </w:tcPr>
          <w:p w:rsidR="00A73803" w:rsidRPr="00024700" w:rsidRDefault="00A73803" w:rsidP="002F4B31">
            <w:pPr>
              <w:spacing w:before="60" w:after="0" w:line="240" w:lineRule="auto"/>
              <w:jc w:val="right"/>
              <w:rPr>
                <w:rFonts w:ascii="Times New Roman" w:eastAsia="Times New Roman" w:hAnsi="Times New Roman" w:cs="Times New Roman"/>
                <w:lang w:eastAsia="hu-HU"/>
              </w:rPr>
            </w:pPr>
            <w:r w:rsidRPr="00024700">
              <w:rPr>
                <w:rFonts w:ascii="Times New Roman" w:eastAsia="Times New Roman" w:hAnsi="Times New Roman" w:cs="Times New Roman"/>
                <w:lang w:eastAsia="hu-HU"/>
              </w:rPr>
              <w:t>141,9 %</w:t>
            </w:r>
          </w:p>
        </w:tc>
      </w:tr>
    </w:tbl>
    <w:p w:rsidR="00A73803" w:rsidRPr="00221CF5" w:rsidRDefault="00A73803" w:rsidP="00A73803">
      <w:pPr>
        <w:spacing w:after="0"/>
        <w:ind w:right="27"/>
        <w:jc w:val="both"/>
        <w:rPr>
          <w:rFonts w:ascii="Times New Roman" w:eastAsia="Times New Roman" w:hAnsi="Times New Roman" w:cs="Times New Roman"/>
          <w:b/>
          <w:sz w:val="24"/>
          <w:szCs w:val="24"/>
          <w:lang w:eastAsia="hu-HU"/>
        </w:rPr>
      </w:pPr>
    </w:p>
    <w:p w:rsidR="00A73803" w:rsidRPr="00421266" w:rsidRDefault="00A73803" w:rsidP="00421266">
      <w:pPr>
        <w:spacing w:after="0"/>
        <w:ind w:right="27"/>
        <w:rPr>
          <w:rFonts w:ascii="Times New Roman" w:hAnsi="Times New Roman" w:cs="Times New Roman"/>
          <w:b/>
          <w:sz w:val="24"/>
          <w:szCs w:val="24"/>
        </w:rPr>
      </w:pPr>
      <w:r w:rsidRPr="00221CF5">
        <w:rPr>
          <w:rFonts w:ascii="Times New Roman" w:hAnsi="Times New Roman" w:cs="Times New Roman"/>
          <w:b/>
          <w:sz w:val="24"/>
          <w:szCs w:val="24"/>
        </w:rPr>
        <w:t>II.6 Egyéb sajátos eszközoldali és a kötelezetts</w:t>
      </w:r>
      <w:r w:rsidR="00421266">
        <w:rPr>
          <w:rFonts w:ascii="Times New Roman" w:hAnsi="Times New Roman" w:cs="Times New Roman"/>
          <w:b/>
          <w:sz w:val="24"/>
          <w:szCs w:val="24"/>
        </w:rPr>
        <w:t>ég jellegű sajátos elszámolások</w:t>
      </w:r>
    </w:p>
    <w:p w:rsidR="00A73803" w:rsidRPr="00221CF5" w:rsidRDefault="00A73803" w:rsidP="00A73803">
      <w:pPr>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Összességében 98,6 mFt-tal az egyéb sajátos eszközoldali elszámolások értéke, míg a kötelezettség jellegű sajátos elszámolások értéke 362,9 mFt-tal emelkedett, amelynek legfőbb oka a nemzetközi támogatási programokra beérkezett közvetlen uniós támogatások 372,4 mFt-os növekedése volt.</w:t>
      </w:r>
    </w:p>
    <w:p w:rsidR="00A73803" w:rsidRPr="007D47A5" w:rsidRDefault="00A73803" w:rsidP="00A73803">
      <w:pPr>
        <w:spacing w:after="0"/>
        <w:jc w:val="both"/>
        <w:rPr>
          <w:rFonts w:ascii="Times New Roman" w:eastAsia="Times New Roman" w:hAnsi="Times New Roman" w:cs="Times New Roman"/>
          <w:sz w:val="24"/>
          <w:szCs w:val="24"/>
          <w:lang w:eastAsia="hu-HU"/>
        </w:rPr>
      </w:pPr>
      <w:r w:rsidRPr="00221CF5">
        <w:rPr>
          <w:rFonts w:ascii="Times New Roman" w:eastAsia="Times New Roman" w:hAnsi="Times New Roman" w:cs="Times New Roman"/>
          <w:sz w:val="24"/>
          <w:szCs w:val="24"/>
          <w:lang w:eastAsia="hu-HU"/>
        </w:rPr>
        <w:t>Az egyéb sajátos eszközoldali elszámolások között a decemberben kifizetett nettó bérek, a kötelezettség jellegű sajátos elszámolások között a Neptun gyűjtőszámla, a vevői előlegek és a közvetlenül EU-s finanszírozású kincstári devizaszámlán kezelt p</w:t>
      </w:r>
      <w:r w:rsidR="007D47A5">
        <w:rPr>
          <w:rFonts w:ascii="Times New Roman" w:eastAsia="Times New Roman" w:hAnsi="Times New Roman" w:cs="Times New Roman"/>
          <w:sz w:val="24"/>
          <w:szCs w:val="24"/>
          <w:lang w:eastAsia="hu-HU"/>
        </w:rPr>
        <w:t xml:space="preserve">ályázati bevételek találhatóak. </w:t>
      </w:r>
      <w:r w:rsidRPr="00221CF5">
        <w:rPr>
          <w:rFonts w:ascii="Times New Roman" w:eastAsia="Times New Roman" w:hAnsi="Times New Roman" w:cs="Times New Roman"/>
          <w:sz w:val="24"/>
          <w:szCs w:val="24"/>
          <w:lang w:eastAsia="hu-HU"/>
        </w:rPr>
        <w:t>Az egyéb sajátos elszámolások tételeinek rendezése folyamatosan történik.</w:t>
      </w:r>
    </w:p>
    <w:p w:rsidR="00A73803" w:rsidRPr="00221CF5" w:rsidRDefault="00A73803" w:rsidP="00A73803">
      <w:pPr>
        <w:spacing w:after="0"/>
        <w:jc w:val="both"/>
        <w:rPr>
          <w:rFonts w:ascii="Times New Roman" w:hAnsi="Times New Roman" w:cs="Times New Roman"/>
          <w:b/>
          <w:sz w:val="24"/>
          <w:szCs w:val="24"/>
        </w:rPr>
      </w:pPr>
    </w:p>
    <w:p w:rsidR="007D47A5" w:rsidRDefault="007D47A5">
      <w:pPr>
        <w:rPr>
          <w:rFonts w:ascii="Times New Roman" w:hAnsi="Times New Roman" w:cs="Times New Roman"/>
          <w:b/>
          <w:sz w:val="24"/>
          <w:szCs w:val="24"/>
        </w:rPr>
      </w:pPr>
      <w:r>
        <w:rPr>
          <w:rFonts w:ascii="Times New Roman" w:hAnsi="Times New Roman" w:cs="Times New Roman"/>
          <w:b/>
          <w:sz w:val="24"/>
          <w:szCs w:val="24"/>
        </w:rPr>
        <w:br w:type="page"/>
      </w:r>
    </w:p>
    <w:p w:rsidR="00A73803" w:rsidRPr="00221CF5" w:rsidRDefault="00A73803" w:rsidP="00A73803">
      <w:pPr>
        <w:spacing w:after="0"/>
        <w:jc w:val="both"/>
        <w:rPr>
          <w:rFonts w:ascii="Times New Roman" w:hAnsi="Times New Roman" w:cs="Times New Roman"/>
          <w:b/>
          <w:sz w:val="24"/>
          <w:szCs w:val="24"/>
        </w:rPr>
      </w:pPr>
      <w:r w:rsidRPr="00221CF5">
        <w:rPr>
          <w:rFonts w:ascii="Times New Roman" w:hAnsi="Times New Roman" w:cs="Times New Roman"/>
          <w:b/>
          <w:sz w:val="24"/>
          <w:szCs w:val="24"/>
        </w:rPr>
        <w:lastRenderedPageBreak/>
        <w:t xml:space="preserve">II.7 A vagyon összetétele és változása </w:t>
      </w:r>
    </w:p>
    <w:p w:rsidR="00A73803" w:rsidRPr="00221CF5" w:rsidRDefault="00A73803" w:rsidP="00A73803">
      <w:pPr>
        <w:spacing w:after="0"/>
        <w:jc w:val="both"/>
        <w:rPr>
          <w:rFonts w:ascii="Times New Roman" w:hAnsi="Times New Roman" w:cs="Times New Roman"/>
          <w:sz w:val="24"/>
          <w:szCs w:val="24"/>
        </w:rPr>
      </w:pPr>
      <w:r w:rsidRPr="00221CF5">
        <w:rPr>
          <w:rFonts w:ascii="Times New Roman" w:hAnsi="Times New Roman" w:cs="Times New Roman"/>
          <w:sz w:val="24"/>
          <w:szCs w:val="24"/>
        </w:rPr>
        <w:t>Az Egyetem vagyonának összetétele és könyv szerinti értéke 2020. december 31-i fordulónappal az alábbiak szerint alakult</w:t>
      </w:r>
      <w:r w:rsidR="007B19D5">
        <w:rPr>
          <w:rFonts w:ascii="Times New Roman" w:hAnsi="Times New Roman" w:cs="Times New Roman"/>
          <w:sz w:val="24"/>
          <w:szCs w:val="24"/>
        </w:rPr>
        <w:t>.</w:t>
      </w:r>
      <w:r w:rsidR="00421266">
        <w:rPr>
          <w:rFonts w:ascii="Times New Roman" w:hAnsi="Times New Roman" w:cs="Times New Roman"/>
          <w:sz w:val="24"/>
          <w:szCs w:val="24"/>
        </w:rPr>
        <w:tab/>
      </w:r>
      <w:r w:rsidR="00421266">
        <w:rPr>
          <w:rFonts w:ascii="Times New Roman" w:hAnsi="Times New Roman" w:cs="Times New Roman"/>
          <w:sz w:val="24"/>
          <w:szCs w:val="24"/>
        </w:rPr>
        <w:tab/>
      </w:r>
      <w:r w:rsidR="00421266">
        <w:rPr>
          <w:rFonts w:ascii="Times New Roman" w:hAnsi="Times New Roman" w:cs="Times New Roman"/>
          <w:sz w:val="24"/>
          <w:szCs w:val="24"/>
        </w:rPr>
        <w:tab/>
      </w:r>
      <w:r w:rsidR="00421266">
        <w:rPr>
          <w:rFonts w:ascii="Times New Roman" w:hAnsi="Times New Roman" w:cs="Times New Roman"/>
          <w:sz w:val="24"/>
          <w:szCs w:val="24"/>
        </w:rPr>
        <w:tab/>
      </w:r>
      <w:r w:rsidR="00421266">
        <w:rPr>
          <w:rFonts w:ascii="Times New Roman" w:hAnsi="Times New Roman" w:cs="Times New Roman"/>
          <w:sz w:val="24"/>
          <w:szCs w:val="24"/>
        </w:rPr>
        <w:tab/>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0"/>
        <w:gridCol w:w="1470"/>
        <w:gridCol w:w="1647"/>
        <w:gridCol w:w="1560"/>
      </w:tblGrid>
      <w:tr w:rsidR="00A73803" w:rsidRPr="00BA4AC9" w:rsidTr="007B19D5">
        <w:trPr>
          <w:trHeight w:val="570"/>
        </w:trPr>
        <w:tc>
          <w:tcPr>
            <w:tcW w:w="4410" w:type="dxa"/>
            <w:shd w:val="clear" w:color="auto" w:fill="auto"/>
            <w:noWrap/>
            <w:vAlign w:val="center"/>
            <w:hideMark/>
          </w:tcPr>
          <w:p w:rsidR="00A73803" w:rsidRPr="00BA4AC9" w:rsidRDefault="00A73803" w:rsidP="007B19D5">
            <w:pPr>
              <w:spacing w:after="0" w:line="240" w:lineRule="auto"/>
              <w:jc w:val="center"/>
              <w:rPr>
                <w:rFonts w:ascii="Times New Roman" w:hAnsi="Times New Roman" w:cs="Times New Roman"/>
                <w:b/>
              </w:rPr>
            </w:pPr>
            <w:r w:rsidRPr="00BA4AC9">
              <w:rPr>
                <w:rFonts w:ascii="Times New Roman" w:hAnsi="Times New Roman" w:cs="Times New Roman"/>
                <w:b/>
              </w:rPr>
              <w:t>Nemzeti vagyonba tartozó befektetett eszközök</w:t>
            </w:r>
            <w:r w:rsidR="00421266" w:rsidRPr="00BA4AC9">
              <w:rPr>
                <w:rFonts w:ascii="Times New Roman" w:hAnsi="Times New Roman" w:cs="Times New Roman"/>
              </w:rPr>
              <w:tab/>
              <w:t>(</w:t>
            </w:r>
            <w:r w:rsidR="007D47A5">
              <w:rPr>
                <w:rFonts w:ascii="Times New Roman" w:hAnsi="Times New Roman" w:cs="Times New Roman"/>
              </w:rPr>
              <w:t>m</w:t>
            </w:r>
            <w:r w:rsidR="00421266" w:rsidRPr="00BA4AC9">
              <w:rPr>
                <w:rFonts w:ascii="Times New Roman" w:hAnsi="Times New Roman" w:cs="Times New Roman"/>
              </w:rPr>
              <w:t>Ft)</w:t>
            </w:r>
          </w:p>
        </w:tc>
        <w:tc>
          <w:tcPr>
            <w:tcW w:w="1470" w:type="dxa"/>
            <w:shd w:val="clear" w:color="auto" w:fill="auto"/>
            <w:noWrap/>
            <w:vAlign w:val="center"/>
            <w:hideMark/>
          </w:tcPr>
          <w:p w:rsidR="00A73803" w:rsidRPr="00BA4AC9" w:rsidRDefault="00A73803" w:rsidP="007B19D5">
            <w:pPr>
              <w:spacing w:after="0" w:line="240" w:lineRule="auto"/>
              <w:jc w:val="center"/>
              <w:rPr>
                <w:rFonts w:ascii="Times New Roman" w:hAnsi="Times New Roman" w:cs="Times New Roman"/>
                <w:b/>
              </w:rPr>
            </w:pPr>
            <w:r w:rsidRPr="00BA4AC9">
              <w:rPr>
                <w:rFonts w:ascii="Times New Roman" w:hAnsi="Times New Roman" w:cs="Times New Roman"/>
                <w:b/>
              </w:rPr>
              <w:t>Bruttó érték</w:t>
            </w:r>
          </w:p>
        </w:tc>
        <w:tc>
          <w:tcPr>
            <w:tcW w:w="1647" w:type="dxa"/>
            <w:shd w:val="clear" w:color="auto" w:fill="auto"/>
            <w:noWrap/>
            <w:vAlign w:val="center"/>
            <w:hideMark/>
          </w:tcPr>
          <w:p w:rsidR="00A73803" w:rsidRPr="00BA4AC9" w:rsidRDefault="00A73803" w:rsidP="007B19D5">
            <w:pPr>
              <w:spacing w:after="0" w:line="240" w:lineRule="auto"/>
              <w:jc w:val="center"/>
              <w:rPr>
                <w:rFonts w:ascii="Times New Roman" w:hAnsi="Times New Roman" w:cs="Times New Roman"/>
                <w:b/>
              </w:rPr>
            </w:pPr>
            <w:r w:rsidRPr="00BA4AC9">
              <w:rPr>
                <w:rFonts w:ascii="Times New Roman" w:hAnsi="Times New Roman" w:cs="Times New Roman"/>
                <w:b/>
              </w:rPr>
              <w:t>Értékcsökkenés</w:t>
            </w:r>
          </w:p>
        </w:tc>
        <w:tc>
          <w:tcPr>
            <w:tcW w:w="1560" w:type="dxa"/>
            <w:shd w:val="clear" w:color="auto" w:fill="auto"/>
            <w:noWrap/>
            <w:vAlign w:val="center"/>
            <w:hideMark/>
          </w:tcPr>
          <w:p w:rsidR="00A73803" w:rsidRPr="00BA4AC9" w:rsidRDefault="007B19D5" w:rsidP="007B19D5">
            <w:pPr>
              <w:spacing w:after="0" w:line="240" w:lineRule="auto"/>
              <w:jc w:val="center"/>
              <w:rPr>
                <w:rFonts w:ascii="Times New Roman" w:hAnsi="Times New Roman" w:cs="Times New Roman"/>
                <w:b/>
              </w:rPr>
            </w:pPr>
            <w:r>
              <w:rPr>
                <w:rFonts w:ascii="Times New Roman" w:hAnsi="Times New Roman" w:cs="Times New Roman"/>
                <w:b/>
              </w:rPr>
              <w:t>Könyvsz.</w:t>
            </w:r>
            <w:r w:rsidR="00A73803" w:rsidRPr="00BA4AC9">
              <w:rPr>
                <w:rFonts w:ascii="Times New Roman" w:hAnsi="Times New Roman" w:cs="Times New Roman"/>
                <w:b/>
              </w:rPr>
              <w:t xml:space="preserve"> érték</w:t>
            </w:r>
          </w:p>
        </w:tc>
      </w:tr>
      <w:tr w:rsidR="00A73803" w:rsidRPr="00BA4AC9" w:rsidTr="007B19D5">
        <w:trPr>
          <w:trHeight w:val="255"/>
        </w:trPr>
        <w:tc>
          <w:tcPr>
            <w:tcW w:w="4410" w:type="dxa"/>
            <w:shd w:val="clear" w:color="auto" w:fill="auto"/>
            <w:noWrap/>
            <w:vAlign w:val="bottom"/>
            <w:hideMark/>
          </w:tcPr>
          <w:p w:rsidR="00A73803" w:rsidRPr="00BA4AC9" w:rsidRDefault="00A73803" w:rsidP="007D47A5">
            <w:pPr>
              <w:spacing w:after="0" w:line="240" w:lineRule="auto"/>
              <w:jc w:val="both"/>
              <w:rPr>
                <w:rFonts w:ascii="Times New Roman" w:hAnsi="Times New Roman" w:cs="Times New Roman"/>
              </w:rPr>
            </w:pPr>
            <w:r w:rsidRPr="00BA4AC9">
              <w:rPr>
                <w:rFonts w:ascii="Times New Roman" w:hAnsi="Times New Roman" w:cs="Times New Roman"/>
              </w:rPr>
              <w:t>Immateriális javak</w:t>
            </w:r>
          </w:p>
        </w:tc>
        <w:tc>
          <w:tcPr>
            <w:tcW w:w="1470"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2 389,5</w:t>
            </w:r>
          </w:p>
        </w:tc>
        <w:tc>
          <w:tcPr>
            <w:tcW w:w="1647"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1 627,1</w:t>
            </w:r>
          </w:p>
        </w:tc>
        <w:tc>
          <w:tcPr>
            <w:tcW w:w="1560"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762,4</w:t>
            </w:r>
          </w:p>
        </w:tc>
      </w:tr>
      <w:tr w:rsidR="00A73803" w:rsidRPr="00BA4AC9" w:rsidTr="007B19D5">
        <w:trPr>
          <w:trHeight w:val="255"/>
        </w:trPr>
        <w:tc>
          <w:tcPr>
            <w:tcW w:w="4410" w:type="dxa"/>
            <w:shd w:val="clear" w:color="auto" w:fill="auto"/>
            <w:noWrap/>
            <w:vAlign w:val="bottom"/>
            <w:hideMark/>
          </w:tcPr>
          <w:p w:rsidR="00A73803" w:rsidRPr="00BA4AC9" w:rsidRDefault="00A73803" w:rsidP="007D47A5">
            <w:pPr>
              <w:spacing w:after="0" w:line="240" w:lineRule="auto"/>
              <w:jc w:val="both"/>
              <w:rPr>
                <w:rFonts w:ascii="Times New Roman" w:hAnsi="Times New Roman" w:cs="Times New Roman"/>
              </w:rPr>
            </w:pPr>
            <w:r w:rsidRPr="00BA4AC9">
              <w:rPr>
                <w:rFonts w:ascii="Times New Roman" w:hAnsi="Times New Roman" w:cs="Times New Roman"/>
              </w:rPr>
              <w:t>Ingatlanok és kapcsolódó vagyoni értékű jogok</w:t>
            </w:r>
          </w:p>
        </w:tc>
        <w:tc>
          <w:tcPr>
            <w:tcW w:w="1470"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64 833,9</w:t>
            </w:r>
          </w:p>
        </w:tc>
        <w:tc>
          <w:tcPr>
            <w:tcW w:w="1647"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21 648,7</w:t>
            </w:r>
          </w:p>
        </w:tc>
        <w:tc>
          <w:tcPr>
            <w:tcW w:w="156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43 185,2</w:t>
            </w:r>
          </w:p>
        </w:tc>
      </w:tr>
      <w:tr w:rsidR="00A73803" w:rsidRPr="00BA4AC9" w:rsidTr="007B19D5">
        <w:trPr>
          <w:trHeight w:val="255"/>
        </w:trPr>
        <w:tc>
          <w:tcPr>
            <w:tcW w:w="4410" w:type="dxa"/>
            <w:shd w:val="clear" w:color="auto" w:fill="auto"/>
            <w:noWrap/>
            <w:vAlign w:val="bottom"/>
            <w:hideMark/>
          </w:tcPr>
          <w:p w:rsidR="00A73803" w:rsidRPr="00BA4AC9" w:rsidRDefault="00A73803" w:rsidP="007D47A5">
            <w:pPr>
              <w:spacing w:after="0" w:line="240" w:lineRule="auto"/>
              <w:jc w:val="both"/>
              <w:rPr>
                <w:rFonts w:ascii="Times New Roman" w:hAnsi="Times New Roman" w:cs="Times New Roman"/>
              </w:rPr>
            </w:pPr>
            <w:r w:rsidRPr="00BA4AC9">
              <w:rPr>
                <w:rFonts w:ascii="Times New Roman" w:hAnsi="Times New Roman" w:cs="Times New Roman"/>
              </w:rPr>
              <w:t>Gépek, berendezések, felszerelések, járművek</w:t>
            </w:r>
          </w:p>
        </w:tc>
        <w:tc>
          <w:tcPr>
            <w:tcW w:w="147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20 430,8</w:t>
            </w:r>
          </w:p>
        </w:tc>
        <w:tc>
          <w:tcPr>
            <w:tcW w:w="1647"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16 277,5</w:t>
            </w:r>
          </w:p>
        </w:tc>
        <w:tc>
          <w:tcPr>
            <w:tcW w:w="156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4 153,2</w:t>
            </w:r>
          </w:p>
        </w:tc>
      </w:tr>
      <w:tr w:rsidR="00A73803" w:rsidRPr="00BA4AC9" w:rsidTr="007B19D5">
        <w:trPr>
          <w:trHeight w:val="255"/>
        </w:trPr>
        <w:tc>
          <w:tcPr>
            <w:tcW w:w="4410" w:type="dxa"/>
            <w:shd w:val="clear" w:color="auto" w:fill="auto"/>
            <w:noWrap/>
            <w:vAlign w:val="bottom"/>
          </w:tcPr>
          <w:p w:rsidR="00A73803" w:rsidRPr="00BA4AC9" w:rsidRDefault="00A73803" w:rsidP="007D47A5">
            <w:pPr>
              <w:spacing w:after="0" w:line="240" w:lineRule="auto"/>
              <w:jc w:val="both"/>
              <w:rPr>
                <w:rFonts w:ascii="Times New Roman" w:hAnsi="Times New Roman" w:cs="Times New Roman"/>
              </w:rPr>
            </w:pPr>
            <w:r w:rsidRPr="00BA4AC9">
              <w:rPr>
                <w:rFonts w:ascii="Times New Roman" w:hAnsi="Times New Roman" w:cs="Times New Roman"/>
              </w:rPr>
              <w:t>Beruházások, felújítások</w:t>
            </w:r>
          </w:p>
        </w:tc>
        <w:tc>
          <w:tcPr>
            <w:tcW w:w="147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292,3</w:t>
            </w:r>
          </w:p>
        </w:tc>
        <w:tc>
          <w:tcPr>
            <w:tcW w:w="1647"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w:t>
            </w:r>
          </w:p>
        </w:tc>
        <w:tc>
          <w:tcPr>
            <w:tcW w:w="156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292,3</w:t>
            </w:r>
          </w:p>
        </w:tc>
      </w:tr>
      <w:tr w:rsidR="00A73803" w:rsidRPr="00BA4AC9" w:rsidTr="007B19D5">
        <w:trPr>
          <w:trHeight w:val="255"/>
        </w:trPr>
        <w:tc>
          <w:tcPr>
            <w:tcW w:w="4410" w:type="dxa"/>
            <w:shd w:val="clear" w:color="auto" w:fill="auto"/>
            <w:noWrap/>
            <w:vAlign w:val="bottom"/>
            <w:hideMark/>
          </w:tcPr>
          <w:p w:rsidR="00A73803" w:rsidRPr="00BA4AC9" w:rsidRDefault="00A73803" w:rsidP="007D47A5">
            <w:pPr>
              <w:spacing w:after="0" w:line="240" w:lineRule="auto"/>
              <w:jc w:val="both"/>
              <w:rPr>
                <w:rFonts w:ascii="Times New Roman" w:hAnsi="Times New Roman" w:cs="Times New Roman"/>
              </w:rPr>
            </w:pPr>
            <w:r w:rsidRPr="00BA4AC9">
              <w:rPr>
                <w:rFonts w:ascii="Times New Roman" w:hAnsi="Times New Roman" w:cs="Times New Roman"/>
              </w:rPr>
              <w:t>Befektetett pénzügyi eszközök</w:t>
            </w:r>
          </w:p>
        </w:tc>
        <w:tc>
          <w:tcPr>
            <w:tcW w:w="147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227,7</w:t>
            </w:r>
          </w:p>
        </w:tc>
        <w:tc>
          <w:tcPr>
            <w:tcW w:w="1647"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w:t>
            </w:r>
          </w:p>
        </w:tc>
        <w:tc>
          <w:tcPr>
            <w:tcW w:w="1560" w:type="dxa"/>
            <w:shd w:val="clear" w:color="auto" w:fill="auto"/>
            <w:noWrap/>
            <w:vAlign w:val="bottom"/>
            <w:hideMark/>
          </w:tcPr>
          <w:p w:rsidR="00A73803" w:rsidRPr="00BA4AC9" w:rsidRDefault="007D47A5" w:rsidP="007D47A5">
            <w:pPr>
              <w:spacing w:after="0" w:line="240" w:lineRule="auto"/>
              <w:jc w:val="right"/>
              <w:rPr>
                <w:rFonts w:ascii="Times New Roman" w:hAnsi="Times New Roman" w:cs="Times New Roman"/>
              </w:rPr>
            </w:pPr>
            <w:r>
              <w:rPr>
                <w:rFonts w:ascii="Times New Roman" w:hAnsi="Times New Roman" w:cs="Times New Roman"/>
              </w:rPr>
              <w:t>227</w:t>
            </w:r>
          </w:p>
        </w:tc>
      </w:tr>
      <w:tr w:rsidR="00A73803" w:rsidRPr="00BA4AC9" w:rsidTr="007B19D5">
        <w:trPr>
          <w:trHeight w:val="255"/>
        </w:trPr>
        <w:tc>
          <w:tcPr>
            <w:tcW w:w="4410" w:type="dxa"/>
            <w:shd w:val="clear" w:color="auto" w:fill="auto"/>
            <w:noWrap/>
            <w:vAlign w:val="bottom"/>
            <w:hideMark/>
          </w:tcPr>
          <w:p w:rsidR="00A73803" w:rsidRPr="00BA4AC9" w:rsidRDefault="00A73803" w:rsidP="007D47A5">
            <w:pPr>
              <w:spacing w:after="0" w:line="240" w:lineRule="auto"/>
              <w:jc w:val="both"/>
              <w:rPr>
                <w:rFonts w:ascii="Times New Roman" w:hAnsi="Times New Roman" w:cs="Times New Roman"/>
                <w:b/>
              </w:rPr>
            </w:pPr>
            <w:r w:rsidRPr="00BA4AC9">
              <w:rPr>
                <w:rFonts w:ascii="Times New Roman" w:hAnsi="Times New Roman" w:cs="Times New Roman"/>
                <w:b/>
              </w:rPr>
              <w:t>Összesen</w:t>
            </w:r>
            <w:r w:rsidR="00421266" w:rsidRPr="00BA4AC9">
              <w:rPr>
                <w:rFonts w:ascii="Times New Roman" w:hAnsi="Times New Roman" w:cs="Times New Roman"/>
                <w:b/>
              </w:rPr>
              <w:t xml:space="preserve"> </w:t>
            </w:r>
          </w:p>
        </w:tc>
        <w:tc>
          <w:tcPr>
            <w:tcW w:w="147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b/>
              </w:rPr>
            </w:pPr>
            <w:r>
              <w:rPr>
                <w:rFonts w:ascii="Times New Roman" w:hAnsi="Times New Roman" w:cs="Times New Roman"/>
                <w:b/>
              </w:rPr>
              <w:t>88 174,1</w:t>
            </w:r>
          </w:p>
        </w:tc>
        <w:tc>
          <w:tcPr>
            <w:tcW w:w="1647"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b/>
              </w:rPr>
            </w:pPr>
            <w:r>
              <w:rPr>
                <w:rFonts w:ascii="Times New Roman" w:hAnsi="Times New Roman" w:cs="Times New Roman"/>
                <w:b/>
              </w:rPr>
              <w:t>39 553,3</w:t>
            </w:r>
          </w:p>
        </w:tc>
        <w:tc>
          <w:tcPr>
            <w:tcW w:w="1560" w:type="dxa"/>
            <w:shd w:val="clear" w:color="auto" w:fill="auto"/>
            <w:noWrap/>
            <w:vAlign w:val="bottom"/>
          </w:tcPr>
          <w:p w:rsidR="00A73803" w:rsidRPr="00BA4AC9" w:rsidRDefault="007D47A5" w:rsidP="007D47A5">
            <w:pPr>
              <w:spacing w:after="0" w:line="240" w:lineRule="auto"/>
              <w:jc w:val="right"/>
              <w:rPr>
                <w:rFonts w:ascii="Times New Roman" w:hAnsi="Times New Roman" w:cs="Times New Roman"/>
                <w:b/>
              </w:rPr>
            </w:pPr>
            <w:r>
              <w:rPr>
                <w:rFonts w:ascii="Times New Roman" w:hAnsi="Times New Roman" w:cs="Times New Roman"/>
                <w:b/>
              </w:rPr>
              <w:t>48 620,8</w:t>
            </w:r>
          </w:p>
        </w:tc>
      </w:tr>
    </w:tbl>
    <w:p w:rsidR="003D139F" w:rsidRDefault="00A73803" w:rsidP="007D47A5">
      <w:pPr>
        <w:spacing w:before="120" w:after="60"/>
        <w:jc w:val="both"/>
        <w:rPr>
          <w:rFonts w:ascii="Times New Roman" w:hAnsi="Times New Roman" w:cs="Times New Roman"/>
          <w:sz w:val="24"/>
          <w:szCs w:val="24"/>
        </w:rPr>
      </w:pPr>
      <w:r w:rsidRPr="00221CF5">
        <w:rPr>
          <w:rFonts w:ascii="Times New Roman" w:hAnsi="Times New Roman" w:cs="Times New Roman"/>
          <w:sz w:val="24"/>
          <w:szCs w:val="24"/>
        </w:rPr>
        <w:t xml:space="preserve">Az Egyetem </w:t>
      </w:r>
      <w:r w:rsidRPr="003D139F">
        <w:rPr>
          <w:rFonts w:ascii="Times New Roman" w:hAnsi="Times New Roman" w:cs="Times New Roman"/>
          <w:b/>
          <w:sz w:val="24"/>
          <w:szCs w:val="24"/>
        </w:rPr>
        <w:t>vagyonának bruttó érték változása</w:t>
      </w:r>
      <w:r w:rsidRPr="00221CF5">
        <w:rPr>
          <w:rFonts w:ascii="Times New Roman" w:hAnsi="Times New Roman" w:cs="Times New Roman"/>
          <w:sz w:val="24"/>
          <w:szCs w:val="24"/>
        </w:rPr>
        <w:t xml:space="preserve"> összességében 696,8 mFt emelkedést, míg a könyvszerinti érté</w:t>
      </w:r>
      <w:r w:rsidR="00421266">
        <w:rPr>
          <w:rFonts w:ascii="Times New Roman" w:hAnsi="Times New Roman" w:cs="Times New Roman"/>
          <w:sz w:val="24"/>
          <w:szCs w:val="24"/>
        </w:rPr>
        <w:t>k 1 086,1 mFt csökkenést mutat.</w:t>
      </w:r>
      <w:r w:rsidR="003D139F">
        <w:rPr>
          <w:rFonts w:ascii="Times New Roman" w:hAnsi="Times New Roman" w:cs="Times New Roman"/>
          <w:sz w:val="24"/>
          <w:szCs w:val="24"/>
        </w:rPr>
        <w:t xml:space="preserve"> </w:t>
      </w:r>
    </w:p>
    <w:p w:rsidR="00A73803" w:rsidRPr="00221CF5" w:rsidRDefault="00A73803" w:rsidP="007D47A5">
      <w:pPr>
        <w:spacing w:after="60"/>
        <w:jc w:val="both"/>
        <w:rPr>
          <w:rFonts w:ascii="Times New Roman" w:hAnsi="Times New Roman" w:cs="Times New Roman"/>
          <w:sz w:val="24"/>
          <w:szCs w:val="24"/>
        </w:rPr>
      </w:pPr>
      <w:r w:rsidRPr="00221CF5">
        <w:rPr>
          <w:rFonts w:ascii="Times New Roman" w:hAnsi="Times New Roman" w:cs="Times New Roman"/>
          <w:sz w:val="24"/>
          <w:szCs w:val="24"/>
        </w:rPr>
        <w:t xml:space="preserve">Tárgyévben </w:t>
      </w:r>
      <w:r w:rsidRPr="003D139F">
        <w:rPr>
          <w:rFonts w:ascii="Times New Roman" w:hAnsi="Times New Roman" w:cs="Times New Roman"/>
          <w:b/>
          <w:sz w:val="24"/>
          <w:szCs w:val="24"/>
        </w:rPr>
        <w:t>aktivált beruházások, felújítások</w:t>
      </w:r>
      <w:r w:rsidRPr="00221CF5">
        <w:rPr>
          <w:rFonts w:ascii="Times New Roman" w:hAnsi="Times New Roman" w:cs="Times New Roman"/>
          <w:sz w:val="24"/>
          <w:szCs w:val="24"/>
        </w:rPr>
        <w:t xml:space="preserve"> kifizetésére 2 838,9 mFt értékben került sor, melyből 292,3 mFt befejezetlen beruházás maradt. </w:t>
      </w:r>
    </w:p>
    <w:p w:rsidR="00A73803" w:rsidRPr="00221CF5" w:rsidRDefault="00A73803" w:rsidP="007D47A5">
      <w:pPr>
        <w:spacing w:after="60"/>
        <w:jc w:val="both"/>
        <w:rPr>
          <w:rFonts w:ascii="Times New Roman" w:hAnsi="Times New Roman" w:cs="Times New Roman"/>
          <w:sz w:val="24"/>
          <w:szCs w:val="24"/>
        </w:rPr>
      </w:pPr>
      <w:r w:rsidRPr="003D139F">
        <w:rPr>
          <w:rFonts w:ascii="Times New Roman" w:hAnsi="Times New Roman" w:cs="Times New Roman"/>
          <w:b/>
          <w:sz w:val="24"/>
          <w:szCs w:val="24"/>
        </w:rPr>
        <w:t>Vagyonkezelői jog átvételére</w:t>
      </w:r>
      <w:r w:rsidRPr="00221CF5">
        <w:rPr>
          <w:rFonts w:ascii="Times New Roman" w:hAnsi="Times New Roman" w:cs="Times New Roman"/>
          <w:sz w:val="24"/>
          <w:szCs w:val="24"/>
        </w:rPr>
        <w:t xml:space="preserve"> 2020-ban nem került sor.</w:t>
      </w:r>
    </w:p>
    <w:p w:rsidR="00A73803" w:rsidRPr="00221CF5" w:rsidRDefault="00A73803" w:rsidP="007D47A5">
      <w:pPr>
        <w:spacing w:after="60"/>
        <w:jc w:val="both"/>
        <w:rPr>
          <w:rFonts w:ascii="Times New Roman" w:hAnsi="Times New Roman" w:cs="Times New Roman"/>
          <w:sz w:val="24"/>
          <w:szCs w:val="24"/>
        </w:rPr>
      </w:pPr>
      <w:r w:rsidRPr="003D139F">
        <w:rPr>
          <w:rFonts w:ascii="Times New Roman" w:hAnsi="Times New Roman" w:cs="Times New Roman"/>
          <w:b/>
          <w:sz w:val="24"/>
          <w:szCs w:val="24"/>
        </w:rPr>
        <w:t>Térítésmentes átvétel</w:t>
      </w:r>
      <w:r w:rsidRPr="00221CF5">
        <w:rPr>
          <w:rFonts w:ascii="Times New Roman" w:hAnsi="Times New Roman" w:cs="Times New Roman"/>
          <w:sz w:val="24"/>
          <w:szCs w:val="24"/>
        </w:rPr>
        <w:t xml:space="preserve"> (MVM Zrt-től, JÖSZ Kft-től, stb.) 35,3 mFt értékben növelte a vagyont, ajándékok és leltártöbbletek miatt, továbbá egyéb növekedés címén, elsősorban saját előállítású szerzői jogok bevételezése, továbbá az Egyetemi Könyvtárba beérkezett ajándékkönyvek bevételezése miatt 133,6 mFt-tal nőtt a bruttó vagyonérték. </w:t>
      </w:r>
    </w:p>
    <w:p w:rsidR="00A73803" w:rsidRPr="00221CF5" w:rsidRDefault="00A73803" w:rsidP="007D47A5">
      <w:pPr>
        <w:spacing w:after="60"/>
        <w:jc w:val="both"/>
        <w:rPr>
          <w:rFonts w:ascii="Times New Roman" w:hAnsi="Times New Roman" w:cs="Times New Roman"/>
          <w:sz w:val="24"/>
          <w:szCs w:val="24"/>
        </w:rPr>
      </w:pPr>
      <w:r w:rsidRPr="003D139F">
        <w:rPr>
          <w:rFonts w:ascii="Times New Roman" w:hAnsi="Times New Roman" w:cs="Times New Roman"/>
          <w:b/>
          <w:sz w:val="24"/>
          <w:szCs w:val="24"/>
        </w:rPr>
        <w:t>Vagyonkezelői jog átadására</w:t>
      </w:r>
      <w:r w:rsidR="007D47A5">
        <w:rPr>
          <w:rFonts w:ascii="Times New Roman" w:hAnsi="Times New Roman" w:cs="Times New Roman"/>
          <w:sz w:val="24"/>
          <w:szCs w:val="24"/>
        </w:rPr>
        <w:t xml:space="preserve"> 1 687,9 mFt összegben</w:t>
      </w:r>
      <w:r w:rsidRPr="00221CF5">
        <w:rPr>
          <w:rFonts w:ascii="Times New Roman" w:hAnsi="Times New Roman" w:cs="Times New Roman"/>
          <w:sz w:val="24"/>
          <w:szCs w:val="24"/>
        </w:rPr>
        <w:t xml:space="preserve"> került sor, 2020.07.31-vel a Szerb utca 21. és 23. számú ingatlan esetében, míg 2020.08.12-vel a Visegrádi üdülő ingatlan, továbbá 2020.12.31-vel a Balatonkenese és a Balatonfüred területén lévő üdülő ingatlanok esetében került sor. Visegrád</w:t>
      </w:r>
      <w:r w:rsidR="00E473F9">
        <w:rPr>
          <w:rFonts w:ascii="Times New Roman" w:hAnsi="Times New Roman" w:cs="Times New Roman"/>
          <w:sz w:val="24"/>
          <w:szCs w:val="24"/>
        </w:rPr>
        <w:t xml:space="preserve">i kivételével az </w:t>
      </w:r>
      <w:r w:rsidRPr="00221CF5">
        <w:rPr>
          <w:rFonts w:ascii="Times New Roman" w:hAnsi="Times New Roman" w:cs="Times New Roman"/>
          <w:sz w:val="24"/>
          <w:szCs w:val="24"/>
        </w:rPr>
        <w:t>átadott ingatlan</w:t>
      </w:r>
      <w:r w:rsidR="00E473F9">
        <w:rPr>
          <w:rFonts w:ascii="Times New Roman" w:hAnsi="Times New Roman" w:cs="Times New Roman"/>
          <w:sz w:val="24"/>
          <w:szCs w:val="24"/>
        </w:rPr>
        <w:t>ok</w:t>
      </w:r>
      <w:r w:rsidRPr="00221CF5">
        <w:rPr>
          <w:rFonts w:ascii="Times New Roman" w:hAnsi="Times New Roman" w:cs="Times New Roman"/>
          <w:sz w:val="24"/>
          <w:szCs w:val="24"/>
        </w:rPr>
        <w:t xml:space="preserve"> kijelölésre került</w:t>
      </w:r>
      <w:r w:rsidR="00E473F9">
        <w:rPr>
          <w:rFonts w:ascii="Times New Roman" w:hAnsi="Times New Roman" w:cs="Times New Roman"/>
          <w:sz w:val="24"/>
          <w:szCs w:val="24"/>
        </w:rPr>
        <w:t xml:space="preserve">ek az ELTE részére </w:t>
      </w:r>
      <w:r w:rsidRPr="00221CF5">
        <w:rPr>
          <w:rFonts w:ascii="Times New Roman" w:hAnsi="Times New Roman" w:cs="Times New Roman"/>
          <w:sz w:val="24"/>
          <w:szCs w:val="24"/>
        </w:rPr>
        <w:t>elhelyezési célú ingatlan</w:t>
      </w:r>
      <w:r w:rsidR="00E473F9">
        <w:rPr>
          <w:rFonts w:ascii="Times New Roman" w:hAnsi="Times New Roman" w:cs="Times New Roman"/>
          <w:sz w:val="24"/>
          <w:szCs w:val="24"/>
        </w:rPr>
        <w:t>ként</w:t>
      </w:r>
      <w:r w:rsidRPr="00221CF5">
        <w:rPr>
          <w:rFonts w:ascii="Times New Roman" w:hAnsi="Times New Roman" w:cs="Times New Roman"/>
          <w:sz w:val="24"/>
          <w:szCs w:val="24"/>
        </w:rPr>
        <w:t xml:space="preserve">, melyek bruttó értékét a 015-ös </w:t>
      </w:r>
      <w:r w:rsidR="00E473F9">
        <w:rPr>
          <w:rFonts w:ascii="Times New Roman" w:hAnsi="Times New Roman" w:cs="Times New Roman"/>
          <w:sz w:val="24"/>
          <w:szCs w:val="24"/>
        </w:rPr>
        <w:t>nyilvántartási számlán kimutat</w:t>
      </w:r>
      <w:r w:rsidR="007D47A5">
        <w:rPr>
          <w:rFonts w:ascii="Times New Roman" w:hAnsi="Times New Roman" w:cs="Times New Roman"/>
          <w:sz w:val="24"/>
          <w:szCs w:val="24"/>
        </w:rPr>
        <w:t>t</w:t>
      </w:r>
      <w:r w:rsidR="00E473F9">
        <w:rPr>
          <w:rFonts w:ascii="Times New Roman" w:hAnsi="Times New Roman" w:cs="Times New Roman"/>
          <w:sz w:val="24"/>
          <w:szCs w:val="24"/>
        </w:rPr>
        <w:t>u</w:t>
      </w:r>
      <w:r w:rsidRPr="00221CF5">
        <w:rPr>
          <w:rFonts w:ascii="Times New Roman" w:hAnsi="Times New Roman" w:cs="Times New Roman"/>
          <w:sz w:val="24"/>
          <w:szCs w:val="24"/>
        </w:rPr>
        <w:t>k.</w:t>
      </w:r>
    </w:p>
    <w:p w:rsidR="00A73803" w:rsidRPr="00221CF5" w:rsidRDefault="00A73803" w:rsidP="007D47A5">
      <w:pPr>
        <w:spacing w:after="60"/>
        <w:jc w:val="both"/>
        <w:rPr>
          <w:rFonts w:ascii="Times New Roman" w:hAnsi="Times New Roman" w:cs="Times New Roman"/>
          <w:sz w:val="24"/>
          <w:szCs w:val="24"/>
        </w:rPr>
      </w:pPr>
      <w:r w:rsidRPr="00221CF5">
        <w:rPr>
          <w:rFonts w:ascii="Times New Roman" w:hAnsi="Times New Roman" w:cs="Times New Roman"/>
          <w:sz w:val="24"/>
          <w:szCs w:val="24"/>
        </w:rPr>
        <w:t xml:space="preserve">Az elavult vagy használhatatlanná vált eszközök </w:t>
      </w:r>
      <w:r w:rsidRPr="003D139F">
        <w:rPr>
          <w:rFonts w:ascii="Times New Roman" w:hAnsi="Times New Roman" w:cs="Times New Roman"/>
          <w:b/>
          <w:sz w:val="24"/>
          <w:szCs w:val="24"/>
        </w:rPr>
        <w:t>selejtezése, leltárhiányok</w:t>
      </w:r>
      <w:r w:rsidRPr="00221CF5">
        <w:rPr>
          <w:rFonts w:ascii="Times New Roman" w:hAnsi="Times New Roman" w:cs="Times New Roman"/>
          <w:sz w:val="24"/>
          <w:szCs w:val="24"/>
        </w:rPr>
        <w:t xml:space="preserve"> (220,0 mFt), valamint értékesítések 9,8 mFt, továbbá az elavult, felesleges eszközök Vezér Hallgatói Egyesület részére történő adományozása (376,3 mFt) miatt összesen 384,1 mFt, valamint 9,2 mFt egyéb csökkenés (előző évek befejezetlen beruházásainak aktiválása) összesen 2 311,0 mFt bruttó vagyoncsökkené</w:t>
      </w:r>
      <w:r w:rsidR="00E473F9">
        <w:rPr>
          <w:rFonts w:ascii="Times New Roman" w:hAnsi="Times New Roman" w:cs="Times New Roman"/>
          <w:sz w:val="24"/>
          <w:szCs w:val="24"/>
        </w:rPr>
        <w:t>s következett be a 2020. évben.</w:t>
      </w:r>
    </w:p>
    <w:p w:rsidR="00A73803" w:rsidRPr="00221CF5" w:rsidRDefault="00A73803" w:rsidP="007D47A5">
      <w:pPr>
        <w:spacing w:after="60"/>
        <w:rPr>
          <w:rFonts w:ascii="Times New Roman" w:hAnsi="Times New Roman" w:cs="Times New Roman"/>
          <w:sz w:val="24"/>
          <w:szCs w:val="24"/>
        </w:rPr>
      </w:pPr>
      <w:r w:rsidRPr="003D139F">
        <w:rPr>
          <w:rFonts w:ascii="Times New Roman" w:hAnsi="Times New Roman" w:cs="Times New Roman"/>
          <w:b/>
          <w:sz w:val="24"/>
          <w:szCs w:val="24"/>
        </w:rPr>
        <w:t>Ingatlancsere és ingatlan térítésmentes átvétel</w:t>
      </w:r>
      <w:r w:rsidRPr="00221CF5">
        <w:rPr>
          <w:rFonts w:ascii="Times New Roman" w:hAnsi="Times New Roman" w:cs="Times New Roman"/>
          <w:sz w:val="24"/>
          <w:szCs w:val="24"/>
        </w:rPr>
        <w:t xml:space="preserve"> a 2020. év során nem volt. </w:t>
      </w:r>
    </w:p>
    <w:p w:rsidR="00421266" w:rsidRPr="00221CF5" w:rsidRDefault="00A73803" w:rsidP="003D139F">
      <w:pPr>
        <w:jc w:val="both"/>
        <w:rPr>
          <w:rFonts w:ascii="Times New Roman" w:hAnsi="Times New Roman" w:cs="Times New Roman"/>
          <w:sz w:val="24"/>
          <w:szCs w:val="24"/>
        </w:rPr>
      </w:pPr>
      <w:r w:rsidRPr="00221CF5">
        <w:rPr>
          <w:rFonts w:ascii="Times New Roman" w:hAnsi="Times New Roman" w:cs="Times New Roman"/>
          <w:sz w:val="24"/>
          <w:szCs w:val="24"/>
        </w:rPr>
        <w:t xml:space="preserve">A 2020. évi </w:t>
      </w:r>
      <w:r w:rsidRPr="003D139F">
        <w:rPr>
          <w:rFonts w:ascii="Times New Roman" w:hAnsi="Times New Roman" w:cs="Times New Roman"/>
          <w:b/>
          <w:sz w:val="24"/>
          <w:szCs w:val="24"/>
        </w:rPr>
        <w:t>mérlegszerinti nettó vagyonérték</w:t>
      </w:r>
      <w:r w:rsidRPr="00221CF5">
        <w:rPr>
          <w:rFonts w:ascii="Times New Roman" w:hAnsi="Times New Roman" w:cs="Times New Roman"/>
          <w:sz w:val="24"/>
          <w:szCs w:val="24"/>
        </w:rPr>
        <w:t xml:space="preserve"> 48 393,1 mFt, a használhatósági fok mutatója 55,0 %. A mutató az előző évhez képest 7,2 %-kal csökkent, tehát jelentős romlás tapasztalható. Az ingatlanok esetében a használhatósági fok mutatója 66,6 %, amely érték 1,2 %-kal ismét alacsonyabb az előző évinél, míg a gépek, berendezések, járművek használhatósági foka az eddigi mélypontot jelentő 2017. évi igen alacsony 13,8 %-ról 20,3 %-ra nőtt, melynek oka elsősorban az elavult gépek folyamatos selejtezésének növekedése volt. Az Egyetem összes használatban lévő mobil gépének, berendezésének és felszerelésének átlagos életkora a 2019. évi 6,7 évről 2020-ra 7,9 évre romlott. Ebből a folyamatosan használatban lévő számítástechnikai eszközeink (gépek, monitorok, nyomtatók) átlagos életkora 6,6 év, mely a 2019. évi 7,2 évhez képest némi javulást mutat, mely növekedés elsősorban az otthoni munkavégzéshez beszerzett informatikai eszközök révén keletkezett. </w:t>
      </w:r>
    </w:p>
    <w:p w:rsidR="00F03415" w:rsidRDefault="00E42AA5" w:rsidP="00EC340B">
      <w:pPr>
        <w:keepNext/>
        <w:keepLines/>
        <w:jc w:val="both"/>
        <w:outlineLvl w:val="1"/>
        <w:rPr>
          <w:rFonts w:ascii="Times New Roman" w:hAnsi="Times New Roman" w:cs="Times New Roman"/>
          <w:b/>
          <w:sz w:val="24"/>
          <w:szCs w:val="24"/>
        </w:rPr>
      </w:pPr>
      <w:r w:rsidRPr="00593E79">
        <w:rPr>
          <w:rFonts w:ascii="Times New Roman" w:hAnsi="Times New Roman" w:cs="Times New Roman"/>
          <w:b/>
          <w:sz w:val="24"/>
          <w:szCs w:val="24"/>
        </w:rPr>
        <w:lastRenderedPageBreak/>
        <w:t>II. 8. Normatív támogatások jogosultsági elszámolása</w:t>
      </w:r>
    </w:p>
    <w:p w:rsidR="00EC340B" w:rsidRPr="00EC340B" w:rsidRDefault="007F735A" w:rsidP="00EC340B">
      <w:pPr>
        <w:keepNext/>
        <w:keepLines/>
        <w:spacing w:before="240" w:after="240"/>
        <w:jc w:val="both"/>
        <w:outlineLvl w:val="1"/>
        <w:rPr>
          <w:rFonts w:ascii="Times New Roman" w:hAnsi="Times New Roman" w:cs="Times New Roman"/>
          <w:b/>
          <w:sz w:val="24"/>
          <w:szCs w:val="24"/>
        </w:rPr>
      </w:pPr>
      <w:r w:rsidRPr="00EC340B">
        <w:rPr>
          <w:rFonts w:ascii="Times New Roman" w:hAnsi="Times New Roman" w:cs="Times New Roman"/>
          <w:b/>
          <w:sz w:val="24"/>
          <w:szCs w:val="24"/>
        </w:rPr>
        <w:t xml:space="preserve">A 2020. évi normatív támogatások jogosultsági elszámolása a beszámoló mellékletét képező </w:t>
      </w:r>
      <w:r w:rsidR="00A7409B" w:rsidRPr="00EC340B">
        <w:rPr>
          <w:rFonts w:ascii="Times New Roman" w:hAnsi="Times New Roman" w:cs="Times New Roman"/>
          <w:b/>
          <w:sz w:val="24"/>
          <w:szCs w:val="24"/>
        </w:rPr>
        <w:t>11-12</w:t>
      </w:r>
      <w:r w:rsidRPr="00EC340B">
        <w:rPr>
          <w:rFonts w:ascii="Times New Roman" w:hAnsi="Times New Roman" w:cs="Times New Roman"/>
          <w:b/>
          <w:sz w:val="24"/>
          <w:szCs w:val="24"/>
        </w:rPr>
        <w:t xml:space="preserve">. sz. részletező tábláin kerül bemutatásra. </w:t>
      </w:r>
    </w:p>
    <w:p w:rsidR="007F735A" w:rsidRPr="008C4167" w:rsidRDefault="007F735A" w:rsidP="007F735A">
      <w:pPr>
        <w:keepNext/>
        <w:keepLines/>
        <w:spacing w:before="120" w:after="0"/>
        <w:jc w:val="both"/>
        <w:outlineLvl w:val="1"/>
        <w:rPr>
          <w:rFonts w:ascii="Times New Roman" w:hAnsi="Times New Roman" w:cs="Times New Roman"/>
          <w:sz w:val="24"/>
          <w:szCs w:val="24"/>
        </w:rPr>
      </w:pPr>
      <w:r w:rsidRPr="001F16FD">
        <w:rPr>
          <w:rFonts w:ascii="Times New Roman" w:hAnsi="Times New Roman" w:cs="Times New Roman"/>
          <w:b/>
          <w:sz w:val="24"/>
          <w:szCs w:val="24"/>
        </w:rPr>
        <w:t>A 11. mellékletben</w:t>
      </w:r>
      <w:r w:rsidRPr="001F16FD">
        <w:rPr>
          <w:rFonts w:ascii="Times New Roman" w:hAnsi="Times New Roman" w:cs="Times New Roman"/>
          <w:sz w:val="24"/>
          <w:szCs w:val="24"/>
        </w:rPr>
        <w:t xml:space="preserve"> kimutatott jogosultsági elszámolás alapján</w:t>
      </w:r>
      <w:r w:rsidRPr="001F16FD">
        <w:rPr>
          <w:rFonts w:ascii="Times New Roman" w:hAnsi="Times New Roman" w:cs="Times New Roman"/>
          <w:b/>
          <w:sz w:val="24"/>
          <w:szCs w:val="24"/>
        </w:rPr>
        <w:t xml:space="preserve"> összesen </w:t>
      </w:r>
      <w:r w:rsidR="001F16FD" w:rsidRPr="001F16FD">
        <w:rPr>
          <w:rFonts w:ascii="Times New Roman" w:eastAsia="Times New Roman" w:hAnsi="Times New Roman" w:cs="Times New Roman"/>
          <w:b/>
          <w:bCs/>
          <w:sz w:val="24"/>
          <w:szCs w:val="24"/>
          <w:lang w:eastAsia="hu-HU"/>
        </w:rPr>
        <w:t>201,7</w:t>
      </w:r>
      <w:r w:rsidRPr="001F16FD">
        <w:rPr>
          <w:rFonts w:ascii="Times New Roman" w:eastAsia="Times New Roman" w:hAnsi="Times New Roman" w:cs="Times New Roman"/>
          <w:b/>
          <w:bCs/>
          <w:sz w:val="20"/>
          <w:szCs w:val="20"/>
          <w:lang w:eastAsia="hu-HU"/>
        </w:rPr>
        <w:t xml:space="preserve"> </w:t>
      </w:r>
      <w:r w:rsidRPr="001F16FD">
        <w:rPr>
          <w:rFonts w:ascii="Times New Roman" w:hAnsi="Times New Roman" w:cs="Times New Roman"/>
          <w:b/>
          <w:sz w:val="24"/>
          <w:szCs w:val="24"/>
        </w:rPr>
        <w:t>mFt</w:t>
      </w:r>
      <w:r w:rsidRPr="008C4167">
        <w:rPr>
          <w:rFonts w:ascii="Times New Roman" w:hAnsi="Times New Roman" w:cs="Times New Roman"/>
          <w:b/>
          <w:sz w:val="24"/>
          <w:szCs w:val="24"/>
        </w:rPr>
        <w:t xml:space="preserve"> többlett</w:t>
      </w:r>
      <w:r>
        <w:rPr>
          <w:rFonts w:ascii="Times New Roman" w:hAnsi="Times New Roman" w:cs="Times New Roman"/>
          <w:b/>
          <w:sz w:val="24"/>
          <w:szCs w:val="24"/>
        </w:rPr>
        <w:t xml:space="preserve">ámogatási igényünk </w:t>
      </w:r>
      <w:r>
        <w:rPr>
          <w:rFonts w:ascii="Times New Roman" w:hAnsi="Times New Roman" w:cs="Times New Roman"/>
          <w:sz w:val="24"/>
          <w:szCs w:val="24"/>
        </w:rPr>
        <w:t xml:space="preserve">keletkezett az alábbi táblázatban foglaltak szerint. </w:t>
      </w:r>
    </w:p>
    <w:p w:rsidR="007F735A" w:rsidRPr="002B6111" w:rsidRDefault="007F735A" w:rsidP="007F735A">
      <w:pPr>
        <w:spacing w:before="120" w:after="0"/>
        <w:jc w:val="both"/>
        <w:rPr>
          <w:rFonts w:ascii="Times New Roman" w:hAnsi="Times New Roman" w:cs="Times New Roman"/>
          <w:sz w:val="24"/>
          <w:szCs w:val="24"/>
        </w:rPr>
      </w:pPr>
      <w:r w:rsidRPr="00AB19B2">
        <w:rPr>
          <w:rFonts w:ascii="Times New Roman" w:hAnsi="Times New Roman" w:cs="Times New Roman"/>
          <w:sz w:val="24"/>
          <w:szCs w:val="24"/>
        </w:rPr>
        <w:t>A normatív hallgatói előirányzat támogatásának elszámolása (mFt</w:t>
      </w:r>
      <w:r>
        <w:rPr>
          <w:rFonts w:ascii="Times New Roman" w:hAnsi="Times New Roman" w:cs="Times New Roman"/>
          <w:sz w:val="24"/>
          <w:szCs w:val="24"/>
        </w:rPr>
        <w:t>)</w:t>
      </w:r>
    </w:p>
    <w:tbl>
      <w:tblPr>
        <w:tblW w:w="9072" w:type="dxa"/>
        <w:tblInd w:w="70" w:type="dxa"/>
        <w:tblCellMar>
          <w:left w:w="70" w:type="dxa"/>
          <w:right w:w="70" w:type="dxa"/>
        </w:tblCellMar>
        <w:tblLook w:val="04A0" w:firstRow="1" w:lastRow="0" w:firstColumn="1" w:lastColumn="0" w:noHBand="0" w:noVBand="1"/>
      </w:tblPr>
      <w:tblGrid>
        <w:gridCol w:w="4460"/>
        <w:gridCol w:w="1540"/>
        <w:gridCol w:w="1513"/>
        <w:gridCol w:w="1559"/>
      </w:tblGrid>
      <w:tr w:rsidR="007F735A" w:rsidRPr="00DB2F3F" w:rsidTr="00A7409B">
        <w:trPr>
          <w:trHeight w:val="792"/>
        </w:trPr>
        <w:tc>
          <w:tcPr>
            <w:tcW w:w="4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35A" w:rsidRPr="00DB2F3F" w:rsidRDefault="007F735A" w:rsidP="00A7409B">
            <w:pPr>
              <w:spacing w:after="0" w:line="240" w:lineRule="auto"/>
              <w:jc w:val="center"/>
              <w:rPr>
                <w:rFonts w:ascii="Times New Roman" w:eastAsia="Times New Roman" w:hAnsi="Times New Roman" w:cs="Times New Roman"/>
                <w:b/>
                <w:bCs/>
                <w:color w:val="000000"/>
                <w:sz w:val="20"/>
                <w:szCs w:val="20"/>
                <w:lang w:eastAsia="hu-HU"/>
              </w:rPr>
            </w:pPr>
            <w:r w:rsidRPr="00DB2F3F">
              <w:rPr>
                <w:rFonts w:ascii="Times New Roman" w:eastAsia="Times New Roman" w:hAnsi="Times New Roman" w:cs="Times New Roman"/>
                <w:b/>
                <w:bCs/>
                <w:color w:val="000000"/>
                <w:sz w:val="20"/>
                <w:szCs w:val="20"/>
                <w:lang w:eastAsia="hu-HU"/>
              </w:rPr>
              <w:t>Megnevezés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7F735A" w:rsidRPr="00DB2F3F" w:rsidRDefault="007F735A" w:rsidP="00A7409B">
            <w:pPr>
              <w:spacing w:after="0" w:line="240" w:lineRule="auto"/>
              <w:jc w:val="center"/>
              <w:rPr>
                <w:rFonts w:ascii="Times New Roman" w:eastAsia="Times New Roman" w:hAnsi="Times New Roman" w:cs="Times New Roman"/>
                <w:b/>
                <w:bCs/>
                <w:color w:val="000000"/>
                <w:sz w:val="20"/>
                <w:szCs w:val="20"/>
                <w:lang w:eastAsia="hu-HU"/>
              </w:rPr>
            </w:pPr>
            <w:r w:rsidRPr="00DB2F3F">
              <w:rPr>
                <w:rFonts w:ascii="Times New Roman" w:eastAsia="Times New Roman" w:hAnsi="Times New Roman" w:cs="Times New Roman"/>
                <w:b/>
                <w:bCs/>
                <w:color w:val="000000"/>
                <w:sz w:val="20"/>
                <w:szCs w:val="20"/>
                <w:lang w:eastAsia="hu-HU"/>
              </w:rPr>
              <w:t>Jogosult előirányzat</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7F735A" w:rsidRPr="008003D2" w:rsidRDefault="007F735A" w:rsidP="00A7409B">
            <w:pPr>
              <w:spacing w:after="0" w:line="240" w:lineRule="auto"/>
              <w:jc w:val="center"/>
              <w:rPr>
                <w:rFonts w:ascii="Times New Roman" w:eastAsia="Times New Roman" w:hAnsi="Times New Roman" w:cs="Times New Roman"/>
                <w:b/>
                <w:bCs/>
                <w:color w:val="000000"/>
                <w:sz w:val="20"/>
                <w:szCs w:val="20"/>
                <w:lang w:eastAsia="hu-HU"/>
              </w:rPr>
            </w:pPr>
            <w:r w:rsidRPr="008003D2">
              <w:rPr>
                <w:rFonts w:ascii="Times New Roman" w:eastAsia="Times New Roman" w:hAnsi="Times New Roman" w:cs="Times New Roman"/>
                <w:b/>
                <w:bCs/>
                <w:color w:val="000000"/>
                <w:sz w:val="20"/>
                <w:szCs w:val="20"/>
                <w:lang w:eastAsia="hu-HU"/>
              </w:rPr>
              <w:t>Rendelkezésre álló előirányzat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F735A" w:rsidRPr="00DB2F3F" w:rsidRDefault="007F735A" w:rsidP="00A7409B">
            <w:pPr>
              <w:spacing w:after="0" w:line="240" w:lineRule="auto"/>
              <w:jc w:val="center"/>
              <w:rPr>
                <w:rFonts w:ascii="Times New Roman" w:eastAsia="Times New Roman" w:hAnsi="Times New Roman" w:cs="Times New Roman"/>
                <w:b/>
                <w:bCs/>
                <w:color w:val="000000"/>
                <w:sz w:val="20"/>
                <w:szCs w:val="20"/>
                <w:lang w:eastAsia="hu-HU"/>
              </w:rPr>
            </w:pPr>
            <w:r w:rsidRPr="00DB2F3F">
              <w:rPr>
                <w:rFonts w:ascii="Times New Roman" w:eastAsia="Times New Roman" w:hAnsi="Times New Roman" w:cs="Times New Roman"/>
                <w:b/>
                <w:bCs/>
                <w:color w:val="000000"/>
                <w:sz w:val="20"/>
                <w:szCs w:val="20"/>
                <w:lang w:eastAsia="hu-HU"/>
              </w:rPr>
              <w:t>Különbözet      (rendelkezésre álló - jogosult)</w:t>
            </w:r>
          </w:p>
        </w:tc>
      </w:tr>
      <w:tr w:rsidR="007F735A" w:rsidRPr="001F16FD"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tcPr>
          <w:p w:rsidR="007F735A" w:rsidRPr="001F16FD" w:rsidRDefault="007F735A" w:rsidP="00A7409B">
            <w:pPr>
              <w:spacing w:after="0" w:line="240" w:lineRule="auto"/>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Hallgatói juttatás *</w:t>
            </w:r>
          </w:p>
        </w:tc>
        <w:tc>
          <w:tcPr>
            <w:tcW w:w="1540" w:type="dxa"/>
            <w:tcBorders>
              <w:top w:val="nil"/>
              <w:left w:val="nil"/>
              <w:bottom w:val="single" w:sz="4" w:space="0" w:color="auto"/>
              <w:right w:val="single" w:sz="4" w:space="0" w:color="auto"/>
            </w:tcBorders>
            <w:shd w:val="clear" w:color="auto" w:fill="auto"/>
            <w:noWrap/>
            <w:vAlign w:val="center"/>
          </w:tcPr>
          <w:p w:rsidR="007F735A" w:rsidRPr="001F16FD" w:rsidRDefault="001F16FD"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2 881,09</w:t>
            </w:r>
          </w:p>
        </w:tc>
        <w:tc>
          <w:tcPr>
            <w:tcW w:w="1513" w:type="dxa"/>
            <w:tcBorders>
              <w:top w:val="nil"/>
              <w:left w:val="nil"/>
              <w:bottom w:val="single" w:sz="4" w:space="0" w:color="auto"/>
              <w:right w:val="single" w:sz="4" w:space="0" w:color="auto"/>
            </w:tcBorders>
            <w:shd w:val="clear" w:color="auto" w:fill="auto"/>
            <w:noWrap/>
            <w:vAlign w:val="center"/>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2 851,14</w:t>
            </w:r>
          </w:p>
        </w:tc>
        <w:tc>
          <w:tcPr>
            <w:tcW w:w="1559" w:type="dxa"/>
            <w:tcBorders>
              <w:top w:val="nil"/>
              <w:left w:val="nil"/>
              <w:bottom w:val="single" w:sz="4" w:space="0" w:color="auto"/>
              <w:right w:val="single" w:sz="4" w:space="0" w:color="auto"/>
            </w:tcBorders>
            <w:shd w:val="clear" w:color="auto" w:fill="auto"/>
            <w:noWrap/>
            <w:vAlign w:val="center"/>
          </w:tcPr>
          <w:p w:rsidR="007F735A" w:rsidRPr="001F16FD" w:rsidRDefault="001F16FD"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-29,9</w:t>
            </w:r>
            <w:r w:rsidR="007F735A" w:rsidRPr="001F16FD">
              <w:rPr>
                <w:rFonts w:ascii="Times New Roman" w:eastAsia="Times New Roman" w:hAnsi="Times New Roman" w:cs="Times New Roman"/>
                <w:sz w:val="20"/>
                <w:szCs w:val="20"/>
                <w:lang w:eastAsia="hu-HU"/>
              </w:rPr>
              <w:t>5</w:t>
            </w:r>
          </w:p>
        </w:tc>
      </w:tr>
      <w:tr w:rsidR="007F735A" w:rsidRPr="00013957"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 xml:space="preserve">Kollégiumi támogatás </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347,40</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8003D2" w:rsidRDefault="007F735A" w:rsidP="00A7409B">
            <w:pPr>
              <w:spacing w:after="0" w:line="240" w:lineRule="auto"/>
              <w:jc w:val="right"/>
              <w:rPr>
                <w:rFonts w:ascii="Times New Roman" w:eastAsia="Times New Roman" w:hAnsi="Times New Roman" w:cs="Times New Roman"/>
                <w:sz w:val="20"/>
                <w:szCs w:val="20"/>
                <w:lang w:eastAsia="hu-HU"/>
              </w:rPr>
            </w:pPr>
            <w:r w:rsidRPr="008003D2">
              <w:rPr>
                <w:rFonts w:ascii="Times New Roman" w:eastAsia="Times New Roman" w:hAnsi="Times New Roman" w:cs="Times New Roman"/>
                <w:sz w:val="20"/>
                <w:szCs w:val="20"/>
                <w:lang w:eastAsia="hu-HU"/>
              </w:rPr>
              <w:t>400,29</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52,89</w:t>
            </w:r>
          </w:p>
        </w:tc>
      </w:tr>
      <w:tr w:rsidR="007F735A" w:rsidRPr="002874C0"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Lakhatási támogatás *</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703,32</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599,19</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-104,13</w:t>
            </w:r>
          </w:p>
        </w:tc>
      </w:tr>
      <w:tr w:rsidR="007F735A" w:rsidRPr="002874C0"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Tankönyv, jegyzet, sport, kulturális támogatás</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1F16FD" w:rsidRDefault="001F16FD"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267,45</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263,61</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1F16FD" w:rsidRDefault="001F16FD"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-3,84</w:t>
            </w:r>
          </w:p>
        </w:tc>
      </w:tr>
      <w:tr w:rsidR="007F735A" w:rsidRPr="002874C0"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Doktorandusz hallgatók ösztöndíja *</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 xml:space="preserve">1 </w:t>
            </w:r>
            <w:r w:rsidR="001F16FD" w:rsidRPr="001F16FD">
              <w:rPr>
                <w:rFonts w:ascii="Times New Roman" w:eastAsia="Times New Roman" w:hAnsi="Times New Roman" w:cs="Times New Roman"/>
                <w:sz w:val="20"/>
                <w:szCs w:val="20"/>
                <w:lang w:eastAsia="hu-HU"/>
              </w:rPr>
              <w:t>949,08</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1F16FD" w:rsidRDefault="007F735A"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1 757,88</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1F16FD" w:rsidRDefault="001F16FD" w:rsidP="00A7409B">
            <w:pPr>
              <w:spacing w:after="0" w:line="240" w:lineRule="auto"/>
              <w:jc w:val="right"/>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-191,20</w:t>
            </w:r>
          </w:p>
        </w:tc>
      </w:tr>
      <w:tr w:rsidR="007F735A" w:rsidRPr="00013957"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Nemzeti Felsőoktatási Ösztöndíj összesen</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54,48</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8003D2" w:rsidRDefault="007F735A" w:rsidP="00A7409B">
            <w:pPr>
              <w:spacing w:after="0" w:line="240" w:lineRule="auto"/>
              <w:jc w:val="right"/>
              <w:rPr>
                <w:rFonts w:ascii="Times New Roman" w:eastAsia="Times New Roman" w:hAnsi="Times New Roman" w:cs="Times New Roman"/>
                <w:sz w:val="20"/>
                <w:szCs w:val="20"/>
                <w:lang w:eastAsia="hu-HU"/>
              </w:rPr>
            </w:pPr>
            <w:r w:rsidRPr="008003D2">
              <w:rPr>
                <w:rFonts w:ascii="Times New Roman" w:eastAsia="Times New Roman" w:hAnsi="Times New Roman" w:cs="Times New Roman"/>
                <w:sz w:val="20"/>
                <w:szCs w:val="20"/>
                <w:lang w:eastAsia="hu-HU"/>
              </w:rPr>
              <w:t>54,00</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-0,48</w:t>
            </w:r>
          </w:p>
        </w:tc>
      </w:tr>
      <w:tr w:rsidR="007F735A" w:rsidRPr="00013957"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Miniszteri ösztöndíjak összesen</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19,18</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8003D2" w:rsidRDefault="007F735A" w:rsidP="00A7409B">
            <w:pPr>
              <w:spacing w:after="0" w:line="240" w:lineRule="auto"/>
              <w:jc w:val="right"/>
              <w:rPr>
                <w:rFonts w:ascii="Times New Roman" w:eastAsia="Times New Roman" w:hAnsi="Times New Roman" w:cs="Times New Roman"/>
                <w:sz w:val="20"/>
                <w:szCs w:val="20"/>
                <w:lang w:eastAsia="hu-HU"/>
              </w:rPr>
            </w:pPr>
            <w:r w:rsidRPr="008003D2">
              <w:rPr>
                <w:rFonts w:ascii="Times New Roman" w:eastAsia="Times New Roman" w:hAnsi="Times New Roman" w:cs="Times New Roman"/>
                <w:sz w:val="20"/>
                <w:szCs w:val="20"/>
                <w:lang w:eastAsia="hu-HU"/>
              </w:rPr>
              <w:t>82,86</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63,68</w:t>
            </w:r>
          </w:p>
        </w:tc>
      </w:tr>
      <w:tr w:rsidR="007F735A" w:rsidRPr="00013957" w:rsidTr="00A7409B">
        <w:trPr>
          <w:trHeight w:val="288"/>
        </w:trPr>
        <w:tc>
          <w:tcPr>
            <w:tcW w:w="4460" w:type="dxa"/>
            <w:tcBorders>
              <w:top w:val="nil"/>
              <w:left w:val="single" w:sz="4" w:space="0" w:color="auto"/>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Bursa Hungarica Ösztöndíj intézményi ösztöndíjrész</w:t>
            </w:r>
          </w:p>
        </w:tc>
        <w:tc>
          <w:tcPr>
            <w:tcW w:w="1540"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70,01</w:t>
            </w:r>
          </w:p>
        </w:tc>
        <w:tc>
          <w:tcPr>
            <w:tcW w:w="1513" w:type="dxa"/>
            <w:tcBorders>
              <w:top w:val="nil"/>
              <w:left w:val="nil"/>
              <w:bottom w:val="single" w:sz="4" w:space="0" w:color="auto"/>
              <w:right w:val="single" w:sz="4" w:space="0" w:color="auto"/>
            </w:tcBorders>
            <w:shd w:val="clear" w:color="auto" w:fill="auto"/>
            <w:noWrap/>
            <w:vAlign w:val="center"/>
            <w:hideMark/>
          </w:tcPr>
          <w:p w:rsidR="007F735A" w:rsidRPr="008003D2" w:rsidRDefault="007F735A" w:rsidP="00A7409B">
            <w:pPr>
              <w:spacing w:after="0" w:line="240" w:lineRule="auto"/>
              <w:jc w:val="right"/>
              <w:rPr>
                <w:rFonts w:ascii="Times New Roman" w:eastAsia="Times New Roman" w:hAnsi="Times New Roman" w:cs="Times New Roman"/>
                <w:sz w:val="20"/>
                <w:szCs w:val="20"/>
                <w:lang w:eastAsia="hu-HU"/>
              </w:rPr>
            </w:pPr>
            <w:r w:rsidRPr="008003D2">
              <w:rPr>
                <w:rFonts w:ascii="Times New Roman" w:eastAsia="Times New Roman" w:hAnsi="Times New Roman" w:cs="Times New Roman"/>
                <w:sz w:val="20"/>
                <w:szCs w:val="20"/>
                <w:lang w:eastAsia="hu-HU"/>
              </w:rPr>
              <w:t>81,36</w:t>
            </w:r>
          </w:p>
        </w:tc>
        <w:tc>
          <w:tcPr>
            <w:tcW w:w="1559" w:type="dxa"/>
            <w:tcBorders>
              <w:top w:val="nil"/>
              <w:left w:val="nil"/>
              <w:bottom w:val="single" w:sz="4" w:space="0" w:color="auto"/>
              <w:right w:val="single" w:sz="4" w:space="0" w:color="auto"/>
            </w:tcBorders>
            <w:shd w:val="clear" w:color="auto" w:fill="auto"/>
            <w:noWrap/>
            <w:vAlign w:val="center"/>
            <w:hideMark/>
          </w:tcPr>
          <w:p w:rsidR="007F735A" w:rsidRPr="00013957" w:rsidRDefault="007F735A" w:rsidP="00A7409B">
            <w:pPr>
              <w:spacing w:after="0" w:line="240" w:lineRule="auto"/>
              <w:jc w:val="right"/>
              <w:rPr>
                <w:rFonts w:ascii="Times New Roman" w:eastAsia="Times New Roman" w:hAnsi="Times New Roman" w:cs="Times New Roman"/>
                <w:sz w:val="20"/>
                <w:szCs w:val="20"/>
                <w:lang w:eastAsia="hu-HU"/>
              </w:rPr>
            </w:pPr>
            <w:r w:rsidRPr="00013957">
              <w:rPr>
                <w:rFonts w:ascii="Times New Roman" w:eastAsia="Times New Roman" w:hAnsi="Times New Roman" w:cs="Times New Roman"/>
                <w:sz w:val="20"/>
                <w:szCs w:val="20"/>
                <w:lang w:eastAsia="hu-HU"/>
              </w:rPr>
              <w:t>11,35</w:t>
            </w:r>
          </w:p>
        </w:tc>
      </w:tr>
      <w:tr w:rsidR="007F735A" w:rsidRPr="00AB0805" w:rsidTr="00A7409B">
        <w:trPr>
          <w:trHeight w:val="288"/>
        </w:trPr>
        <w:tc>
          <w:tcPr>
            <w:tcW w:w="4460" w:type="dxa"/>
            <w:tcBorders>
              <w:top w:val="nil"/>
              <w:left w:val="single" w:sz="4" w:space="0" w:color="auto"/>
              <w:bottom w:val="single" w:sz="4" w:space="0" w:color="auto"/>
              <w:right w:val="single" w:sz="4" w:space="0" w:color="auto"/>
            </w:tcBorders>
            <w:shd w:val="clear" w:color="000000" w:fill="EDEDED"/>
            <w:vAlign w:val="center"/>
            <w:hideMark/>
          </w:tcPr>
          <w:p w:rsidR="007F735A" w:rsidRPr="001F16FD" w:rsidRDefault="007F735A" w:rsidP="00A7409B">
            <w:pPr>
              <w:spacing w:after="0" w:line="240" w:lineRule="auto"/>
              <w:rPr>
                <w:rFonts w:ascii="Times New Roman" w:eastAsia="Times New Roman" w:hAnsi="Times New Roman" w:cs="Times New Roman"/>
                <w:sz w:val="20"/>
                <w:szCs w:val="20"/>
                <w:lang w:eastAsia="hu-HU"/>
              </w:rPr>
            </w:pPr>
            <w:r w:rsidRPr="001F16FD">
              <w:rPr>
                <w:rFonts w:ascii="Times New Roman" w:eastAsia="Times New Roman" w:hAnsi="Times New Roman" w:cs="Times New Roman"/>
                <w:sz w:val="20"/>
                <w:szCs w:val="20"/>
                <w:lang w:eastAsia="hu-HU"/>
              </w:rPr>
              <w:t>Hallgatókkal kapcsolatos előirányzatok összesen</w:t>
            </w:r>
          </w:p>
        </w:tc>
        <w:tc>
          <w:tcPr>
            <w:tcW w:w="1540" w:type="dxa"/>
            <w:tcBorders>
              <w:top w:val="nil"/>
              <w:left w:val="nil"/>
              <w:bottom w:val="single" w:sz="4" w:space="0" w:color="auto"/>
              <w:right w:val="single" w:sz="4" w:space="0" w:color="auto"/>
            </w:tcBorders>
            <w:shd w:val="clear" w:color="000000" w:fill="EDEDED"/>
            <w:noWrap/>
            <w:vAlign w:val="center"/>
            <w:hideMark/>
          </w:tcPr>
          <w:p w:rsidR="007F735A" w:rsidRPr="001F16FD" w:rsidRDefault="007F735A" w:rsidP="00A7409B">
            <w:pPr>
              <w:spacing w:after="0" w:line="240" w:lineRule="auto"/>
              <w:jc w:val="right"/>
              <w:rPr>
                <w:rFonts w:ascii="Times New Roman" w:eastAsia="Times New Roman" w:hAnsi="Times New Roman" w:cs="Times New Roman"/>
                <w:b/>
                <w:bCs/>
                <w:sz w:val="20"/>
                <w:szCs w:val="20"/>
                <w:lang w:eastAsia="hu-HU"/>
              </w:rPr>
            </w:pPr>
            <w:r w:rsidRPr="001F16FD">
              <w:rPr>
                <w:rFonts w:ascii="Times New Roman" w:eastAsia="Times New Roman" w:hAnsi="Times New Roman" w:cs="Times New Roman"/>
                <w:b/>
                <w:bCs/>
                <w:sz w:val="20"/>
                <w:szCs w:val="20"/>
                <w:lang w:eastAsia="hu-HU"/>
              </w:rPr>
              <w:t xml:space="preserve">6 </w:t>
            </w:r>
            <w:r w:rsidR="001F16FD" w:rsidRPr="001F16FD">
              <w:rPr>
                <w:rFonts w:ascii="Times New Roman" w:eastAsia="Times New Roman" w:hAnsi="Times New Roman" w:cs="Times New Roman"/>
                <w:b/>
                <w:bCs/>
                <w:sz w:val="20"/>
                <w:szCs w:val="20"/>
                <w:lang w:eastAsia="hu-HU"/>
              </w:rPr>
              <w:t>292,03</w:t>
            </w:r>
          </w:p>
        </w:tc>
        <w:tc>
          <w:tcPr>
            <w:tcW w:w="1513" w:type="dxa"/>
            <w:tcBorders>
              <w:top w:val="nil"/>
              <w:left w:val="nil"/>
              <w:bottom w:val="single" w:sz="4" w:space="0" w:color="auto"/>
              <w:right w:val="single" w:sz="4" w:space="0" w:color="auto"/>
            </w:tcBorders>
            <w:shd w:val="clear" w:color="000000" w:fill="EDEDED"/>
            <w:noWrap/>
            <w:vAlign w:val="center"/>
            <w:hideMark/>
          </w:tcPr>
          <w:p w:rsidR="007F735A" w:rsidRPr="001F16FD" w:rsidRDefault="007F735A" w:rsidP="00A7409B">
            <w:pPr>
              <w:spacing w:after="0" w:line="240" w:lineRule="auto"/>
              <w:jc w:val="right"/>
              <w:rPr>
                <w:rFonts w:ascii="Times New Roman" w:eastAsia="Times New Roman" w:hAnsi="Times New Roman" w:cs="Times New Roman"/>
                <w:b/>
                <w:bCs/>
                <w:sz w:val="20"/>
                <w:szCs w:val="20"/>
                <w:lang w:eastAsia="hu-HU"/>
              </w:rPr>
            </w:pPr>
            <w:r w:rsidRPr="001F16FD">
              <w:rPr>
                <w:rFonts w:ascii="Times New Roman" w:eastAsia="Times New Roman" w:hAnsi="Times New Roman" w:cs="Times New Roman"/>
                <w:b/>
                <w:bCs/>
                <w:sz w:val="20"/>
                <w:szCs w:val="20"/>
                <w:lang w:eastAsia="hu-HU"/>
              </w:rPr>
              <w:t>6 090,33</w:t>
            </w:r>
          </w:p>
        </w:tc>
        <w:tc>
          <w:tcPr>
            <w:tcW w:w="1559" w:type="dxa"/>
            <w:tcBorders>
              <w:top w:val="nil"/>
              <w:left w:val="nil"/>
              <w:bottom w:val="single" w:sz="4" w:space="0" w:color="auto"/>
              <w:right w:val="single" w:sz="4" w:space="0" w:color="auto"/>
            </w:tcBorders>
            <w:shd w:val="clear" w:color="000000" w:fill="EDEDED"/>
            <w:noWrap/>
            <w:vAlign w:val="center"/>
            <w:hideMark/>
          </w:tcPr>
          <w:p w:rsidR="007F735A" w:rsidRPr="00AB0805" w:rsidRDefault="001F16FD" w:rsidP="00A7409B">
            <w:pPr>
              <w:spacing w:after="0" w:line="240" w:lineRule="auto"/>
              <w:jc w:val="right"/>
              <w:rPr>
                <w:rFonts w:ascii="Times New Roman" w:eastAsia="Times New Roman" w:hAnsi="Times New Roman" w:cs="Times New Roman"/>
                <w:b/>
                <w:bCs/>
                <w:sz w:val="20"/>
                <w:szCs w:val="20"/>
                <w:lang w:eastAsia="hu-HU"/>
              </w:rPr>
            </w:pPr>
            <w:r w:rsidRPr="001F16FD">
              <w:rPr>
                <w:rFonts w:ascii="Times New Roman" w:eastAsia="Times New Roman" w:hAnsi="Times New Roman" w:cs="Times New Roman"/>
                <w:b/>
                <w:bCs/>
                <w:sz w:val="20"/>
                <w:szCs w:val="20"/>
                <w:lang w:eastAsia="hu-HU"/>
              </w:rPr>
              <w:t>-201,70</w:t>
            </w:r>
          </w:p>
        </w:tc>
      </w:tr>
    </w:tbl>
    <w:p w:rsidR="007F735A" w:rsidRPr="002F4371" w:rsidRDefault="007F735A" w:rsidP="001C53F2">
      <w:pPr>
        <w:jc w:val="both"/>
        <w:rPr>
          <w:rFonts w:ascii="Times New Roman" w:hAnsi="Times New Roman" w:cs="Times New Roman"/>
          <w:sz w:val="20"/>
          <w:szCs w:val="20"/>
        </w:rPr>
      </w:pPr>
      <w:r w:rsidRPr="002F4371">
        <w:rPr>
          <w:rFonts w:ascii="Times New Roman" w:hAnsi="Times New Roman" w:cs="Times New Roman"/>
          <w:sz w:val="20"/>
          <w:szCs w:val="20"/>
        </w:rPr>
        <w:t>A *-gal jelölt sorok nagyobb arányú eltérés</w:t>
      </w:r>
      <w:r>
        <w:rPr>
          <w:rFonts w:ascii="Times New Roman" w:hAnsi="Times New Roman" w:cs="Times New Roman"/>
          <w:sz w:val="20"/>
          <w:szCs w:val="20"/>
        </w:rPr>
        <w:t>é</w:t>
      </w:r>
      <w:r w:rsidRPr="002F4371">
        <w:rPr>
          <w:rFonts w:ascii="Times New Roman" w:hAnsi="Times New Roman" w:cs="Times New Roman"/>
          <w:sz w:val="20"/>
          <w:szCs w:val="20"/>
        </w:rPr>
        <w:t xml:space="preserve">t </w:t>
      </w:r>
      <w:r>
        <w:rPr>
          <w:rFonts w:ascii="Times New Roman" w:hAnsi="Times New Roman" w:cs="Times New Roman"/>
          <w:sz w:val="20"/>
          <w:szCs w:val="20"/>
        </w:rPr>
        <w:t>az alábbi bekezdésekben vázoljuk.</w:t>
      </w:r>
    </w:p>
    <w:p w:rsidR="007F735A" w:rsidRPr="007F735A" w:rsidRDefault="007F735A" w:rsidP="00EC340B">
      <w:pPr>
        <w:spacing w:before="240" w:after="60"/>
        <w:ind w:right="28"/>
        <w:jc w:val="both"/>
        <w:rPr>
          <w:rFonts w:ascii="Times New Roman" w:hAnsi="Times New Roman" w:cs="Times New Roman"/>
          <w:b/>
          <w:i/>
          <w:sz w:val="24"/>
          <w:szCs w:val="24"/>
        </w:rPr>
      </w:pPr>
      <w:r w:rsidRPr="007F735A">
        <w:rPr>
          <w:rFonts w:ascii="Times New Roman" w:hAnsi="Times New Roman" w:cs="Times New Roman"/>
          <w:b/>
          <w:i/>
          <w:sz w:val="24"/>
          <w:szCs w:val="24"/>
        </w:rPr>
        <w:t>Hallgatói normatívára kapott támogatás</w:t>
      </w:r>
    </w:p>
    <w:p w:rsidR="007F735A" w:rsidRPr="000B76C6" w:rsidRDefault="007F735A" w:rsidP="00ED50AA">
      <w:pPr>
        <w:spacing w:after="0"/>
        <w:jc w:val="both"/>
        <w:rPr>
          <w:rFonts w:ascii="Times New Roman" w:hAnsi="Times New Roman" w:cs="Times New Roman"/>
          <w:sz w:val="24"/>
          <w:szCs w:val="24"/>
        </w:rPr>
      </w:pPr>
      <w:r w:rsidRPr="000B76C6">
        <w:rPr>
          <w:rFonts w:ascii="Times New Roman" w:hAnsi="Times New Roman" w:cs="Times New Roman"/>
          <w:sz w:val="24"/>
          <w:szCs w:val="24"/>
        </w:rPr>
        <w:t>A 20</w:t>
      </w:r>
      <w:r>
        <w:rPr>
          <w:rFonts w:ascii="Times New Roman" w:hAnsi="Times New Roman" w:cs="Times New Roman"/>
          <w:sz w:val="24"/>
          <w:szCs w:val="24"/>
        </w:rPr>
        <w:t>20</w:t>
      </w:r>
      <w:r w:rsidRPr="000B76C6">
        <w:rPr>
          <w:rFonts w:ascii="Times New Roman" w:hAnsi="Times New Roman" w:cs="Times New Roman"/>
          <w:sz w:val="24"/>
          <w:szCs w:val="24"/>
        </w:rPr>
        <w:t xml:space="preserve">. évi normatív támogatás </w:t>
      </w:r>
      <w:r>
        <w:rPr>
          <w:rFonts w:ascii="Times New Roman" w:hAnsi="Times New Roman" w:cs="Times New Roman"/>
          <w:sz w:val="24"/>
          <w:szCs w:val="24"/>
        </w:rPr>
        <w:t>tényleges</w:t>
      </w:r>
      <w:r w:rsidRPr="000B76C6">
        <w:rPr>
          <w:rFonts w:ascii="Times New Roman" w:hAnsi="Times New Roman" w:cs="Times New Roman"/>
          <w:sz w:val="24"/>
          <w:szCs w:val="24"/>
        </w:rPr>
        <w:t xml:space="preserve"> </w:t>
      </w:r>
      <w:r>
        <w:rPr>
          <w:rFonts w:ascii="Times New Roman" w:hAnsi="Times New Roman" w:cs="Times New Roman"/>
          <w:sz w:val="24"/>
          <w:szCs w:val="24"/>
        </w:rPr>
        <w:t>hallgatói</w:t>
      </w:r>
      <w:r w:rsidRPr="000B76C6">
        <w:rPr>
          <w:rFonts w:ascii="Times New Roman" w:hAnsi="Times New Roman" w:cs="Times New Roman"/>
          <w:sz w:val="24"/>
          <w:szCs w:val="24"/>
        </w:rPr>
        <w:t xml:space="preserve"> </w:t>
      </w:r>
      <w:r>
        <w:rPr>
          <w:rFonts w:ascii="Times New Roman" w:hAnsi="Times New Roman" w:cs="Times New Roman"/>
          <w:sz w:val="24"/>
          <w:szCs w:val="24"/>
        </w:rPr>
        <w:t>átlag</w:t>
      </w:r>
      <w:r w:rsidRPr="000B76C6">
        <w:rPr>
          <w:rFonts w:ascii="Times New Roman" w:hAnsi="Times New Roman" w:cs="Times New Roman"/>
          <w:sz w:val="24"/>
          <w:szCs w:val="24"/>
        </w:rPr>
        <w:t>létszám</w:t>
      </w:r>
      <w:r>
        <w:rPr>
          <w:rFonts w:ascii="Times New Roman" w:hAnsi="Times New Roman" w:cs="Times New Roman"/>
          <w:sz w:val="24"/>
          <w:szCs w:val="24"/>
        </w:rPr>
        <w:t>a</w:t>
      </w:r>
      <w:r w:rsidRPr="000B76C6">
        <w:rPr>
          <w:rFonts w:ascii="Times New Roman" w:hAnsi="Times New Roman" w:cs="Times New Roman"/>
          <w:sz w:val="24"/>
          <w:szCs w:val="24"/>
        </w:rPr>
        <w:t xml:space="preserve"> </w:t>
      </w:r>
      <w:r w:rsidRPr="006B2A61">
        <w:rPr>
          <w:rFonts w:ascii="Times New Roman" w:hAnsi="Times New Roman" w:cs="Times New Roman"/>
          <w:sz w:val="24"/>
          <w:szCs w:val="24"/>
        </w:rPr>
        <w:t>magasabb</w:t>
      </w:r>
      <w:r>
        <w:rPr>
          <w:rFonts w:ascii="Times New Roman" w:hAnsi="Times New Roman" w:cs="Times New Roman"/>
          <w:sz w:val="24"/>
          <w:szCs w:val="24"/>
        </w:rPr>
        <w:t xml:space="preserve"> az előirányozott létszámnál, </w:t>
      </w:r>
      <w:r w:rsidRPr="000B76C6">
        <w:rPr>
          <w:rFonts w:ascii="Times New Roman" w:hAnsi="Times New Roman" w:cs="Times New Roman"/>
          <w:sz w:val="24"/>
          <w:szCs w:val="24"/>
        </w:rPr>
        <w:t xml:space="preserve">így a jogosult előirányzat </w:t>
      </w:r>
      <w:r w:rsidRPr="00DF54E0">
        <w:rPr>
          <w:rFonts w:ascii="Times New Roman" w:hAnsi="Times New Roman" w:cs="Times New Roman"/>
          <w:sz w:val="24"/>
          <w:szCs w:val="24"/>
        </w:rPr>
        <w:t xml:space="preserve">összege </w:t>
      </w:r>
      <w:r w:rsidR="00DF54E0" w:rsidRPr="00DF54E0">
        <w:rPr>
          <w:rFonts w:ascii="Times New Roman" w:hAnsi="Times New Roman" w:cs="Times New Roman"/>
          <w:sz w:val="24"/>
          <w:szCs w:val="24"/>
        </w:rPr>
        <w:t>29,95</w:t>
      </w:r>
      <w:r w:rsidRPr="00DF54E0">
        <w:rPr>
          <w:rFonts w:ascii="Times New Roman" w:hAnsi="Times New Roman" w:cs="Times New Roman"/>
          <w:sz w:val="24"/>
          <w:szCs w:val="24"/>
        </w:rPr>
        <w:t xml:space="preserve"> m Ft-tal több</w:t>
      </w:r>
      <w:r w:rsidRPr="000B76C6">
        <w:rPr>
          <w:rFonts w:ascii="Times New Roman" w:hAnsi="Times New Roman" w:cs="Times New Roman"/>
          <w:sz w:val="24"/>
          <w:szCs w:val="24"/>
        </w:rPr>
        <w:t>, mint a rendelkezésre álló előirányzat.</w:t>
      </w:r>
      <w:r>
        <w:rPr>
          <w:rFonts w:ascii="Times New Roman" w:hAnsi="Times New Roman" w:cs="Times New Roman"/>
          <w:sz w:val="24"/>
          <w:szCs w:val="24"/>
        </w:rPr>
        <w:t xml:space="preserve"> A támogatott létszámnál nagyobb számú létszámnövekedés elsősorban a Gazdálkodástudományi Intézet dinamikus fejlődésének eredményeképpen állt elő.</w:t>
      </w:r>
    </w:p>
    <w:p w:rsidR="007F735A" w:rsidRDefault="007F735A" w:rsidP="00E12F2B">
      <w:pPr>
        <w:spacing w:after="60"/>
        <w:jc w:val="both"/>
        <w:rPr>
          <w:rFonts w:ascii="Times New Roman" w:hAnsi="Times New Roman" w:cs="Times New Roman"/>
          <w:sz w:val="24"/>
          <w:szCs w:val="24"/>
        </w:rPr>
      </w:pPr>
      <w:r w:rsidRPr="000B76C6">
        <w:rPr>
          <w:rFonts w:ascii="Times New Roman" w:hAnsi="Times New Roman" w:cs="Times New Roman"/>
          <w:sz w:val="24"/>
          <w:szCs w:val="24"/>
        </w:rPr>
        <w:t xml:space="preserve">A rendelkezésre álló keretből </w:t>
      </w:r>
      <w:r>
        <w:rPr>
          <w:rFonts w:ascii="Times New Roman" w:hAnsi="Times New Roman" w:cs="Times New Roman"/>
          <w:sz w:val="24"/>
          <w:szCs w:val="24"/>
        </w:rPr>
        <w:t>2020</w:t>
      </w:r>
      <w:r w:rsidRPr="000B76C6">
        <w:rPr>
          <w:rFonts w:ascii="Times New Roman" w:hAnsi="Times New Roman" w:cs="Times New Roman"/>
          <w:sz w:val="24"/>
          <w:szCs w:val="24"/>
        </w:rPr>
        <w:t>. évben a tanulmányi</w:t>
      </w:r>
      <w:bookmarkStart w:id="2" w:name="_GoBack"/>
      <w:bookmarkEnd w:id="2"/>
      <w:r w:rsidRPr="000B76C6">
        <w:rPr>
          <w:rFonts w:ascii="Times New Roman" w:hAnsi="Times New Roman" w:cs="Times New Roman"/>
          <w:sz w:val="24"/>
          <w:szCs w:val="24"/>
        </w:rPr>
        <w:t xml:space="preserve"> ösztöndíj kifizetésére a normatív támogatás </w:t>
      </w:r>
      <w:r>
        <w:rPr>
          <w:rFonts w:ascii="Times New Roman" w:hAnsi="Times New Roman" w:cs="Times New Roman"/>
          <w:sz w:val="24"/>
          <w:szCs w:val="24"/>
        </w:rPr>
        <w:t>53</w:t>
      </w:r>
      <w:r w:rsidRPr="000B76C6">
        <w:rPr>
          <w:rFonts w:ascii="Times New Roman" w:hAnsi="Times New Roman" w:cs="Times New Roman"/>
          <w:sz w:val="24"/>
          <w:szCs w:val="24"/>
        </w:rPr>
        <w:t>%-</w:t>
      </w:r>
      <w:r>
        <w:rPr>
          <w:rFonts w:ascii="Times New Roman" w:hAnsi="Times New Roman" w:cs="Times New Roman"/>
          <w:sz w:val="24"/>
          <w:szCs w:val="24"/>
        </w:rPr>
        <w:t>á</w:t>
      </w:r>
      <w:r w:rsidRPr="000B76C6">
        <w:rPr>
          <w:rFonts w:ascii="Times New Roman" w:hAnsi="Times New Roman" w:cs="Times New Roman"/>
          <w:sz w:val="24"/>
          <w:szCs w:val="24"/>
        </w:rPr>
        <w:t>t, a</w:t>
      </w:r>
      <w:r>
        <w:rPr>
          <w:rFonts w:ascii="Times New Roman" w:hAnsi="Times New Roman" w:cs="Times New Roman"/>
          <w:sz w:val="24"/>
          <w:szCs w:val="24"/>
        </w:rPr>
        <w:t xml:space="preserve"> Hallgatói Önkormányzat</w:t>
      </w:r>
      <w:r w:rsidRPr="000B76C6">
        <w:rPr>
          <w:rFonts w:ascii="Times New Roman" w:hAnsi="Times New Roman" w:cs="Times New Roman"/>
          <w:sz w:val="24"/>
          <w:szCs w:val="24"/>
        </w:rPr>
        <w:t xml:space="preserve"> működési költségeinek fedezés</w:t>
      </w:r>
      <w:r>
        <w:rPr>
          <w:rFonts w:ascii="Times New Roman" w:hAnsi="Times New Roman" w:cs="Times New Roman"/>
          <w:sz w:val="24"/>
          <w:szCs w:val="24"/>
        </w:rPr>
        <w:t>ér</w:t>
      </w:r>
      <w:r w:rsidRPr="000B76C6">
        <w:rPr>
          <w:rFonts w:ascii="Times New Roman" w:hAnsi="Times New Roman" w:cs="Times New Roman"/>
          <w:sz w:val="24"/>
          <w:szCs w:val="24"/>
        </w:rPr>
        <w:t>e 3%-</w:t>
      </w:r>
      <w:r>
        <w:rPr>
          <w:rFonts w:ascii="Times New Roman" w:hAnsi="Times New Roman" w:cs="Times New Roman"/>
          <w:sz w:val="24"/>
          <w:szCs w:val="24"/>
        </w:rPr>
        <w:t>o</w:t>
      </w:r>
      <w:r w:rsidRPr="000B76C6">
        <w:rPr>
          <w:rFonts w:ascii="Times New Roman" w:hAnsi="Times New Roman" w:cs="Times New Roman"/>
          <w:sz w:val="24"/>
          <w:szCs w:val="24"/>
        </w:rPr>
        <w:t>t, Intézményi szakmai, tudományos, közéleti ösztöndíjra 1</w:t>
      </w:r>
      <w:r>
        <w:rPr>
          <w:rFonts w:ascii="Times New Roman" w:hAnsi="Times New Roman" w:cs="Times New Roman"/>
          <w:sz w:val="24"/>
          <w:szCs w:val="24"/>
        </w:rPr>
        <w:t>4</w:t>
      </w:r>
      <w:r w:rsidRPr="000B76C6">
        <w:rPr>
          <w:rFonts w:ascii="Times New Roman" w:hAnsi="Times New Roman" w:cs="Times New Roman"/>
          <w:sz w:val="24"/>
          <w:szCs w:val="24"/>
        </w:rPr>
        <w:t>%-</w:t>
      </w:r>
      <w:r>
        <w:rPr>
          <w:rFonts w:ascii="Times New Roman" w:hAnsi="Times New Roman" w:cs="Times New Roman"/>
          <w:sz w:val="24"/>
          <w:szCs w:val="24"/>
        </w:rPr>
        <w:t>o</w:t>
      </w:r>
      <w:r w:rsidRPr="000B76C6">
        <w:rPr>
          <w:rFonts w:ascii="Times New Roman" w:hAnsi="Times New Roman" w:cs="Times New Roman"/>
          <w:sz w:val="24"/>
          <w:szCs w:val="24"/>
        </w:rPr>
        <w:t>t, és a szociális támogatásra 3</w:t>
      </w:r>
      <w:r>
        <w:rPr>
          <w:rFonts w:ascii="Times New Roman" w:hAnsi="Times New Roman" w:cs="Times New Roman"/>
          <w:sz w:val="24"/>
          <w:szCs w:val="24"/>
        </w:rPr>
        <w:t>0</w:t>
      </w:r>
      <w:r w:rsidRPr="000B76C6">
        <w:rPr>
          <w:rFonts w:ascii="Times New Roman" w:hAnsi="Times New Roman" w:cs="Times New Roman"/>
          <w:sz w:val="24"/>
          <w:szCs w:val="24"/>
        </w:rPr>
        <w:t>%-os részt fordítottuk.</w:t>
      </w:r>
    </w:p>
    <w:p w:rsidR="007F735A" w:rsidRDefault="007F735A" w:rsidP="001C53F2">
      <w:pPr>
        <w:jc w:val="both"/>
        <w:rPr>
          <w:rFonts w:ascii="Times New Roman" w:hAnsi="Times New Roman" w:cs="Times New Roman"/>
          <w:sz w:val="24"/>
          <w:szCs w:val="24"/>
        </w:rPr>
      </w:pPr>
      <w:r>
        <w:rPr>
          <w:rFonts w:ascii="Times New Roman" w:hAnsi="Times New Roman" w:cs="Times New Roman"/>
          <w:sz w:val="24"/>
          <w:szCs w:val="24"/>
        </w:rPr>
        <w:t xml:space="preserve">Az elszámolás évében a veszélyhelyzet 10 havi tartós fennállása alatt a tanulmányi ösztöndíj kifizetés a korábbi félévek eljárásrendjének megfelelően közel maradéktalanul felhasználásra került. Az Intézményi Szakmai Tudományos Közéleti ösztöndíjra beadott pályázatok, így a rendelkezésre álló keret felhasználása elmaradt a korábbi évektől. A szociális támogatásokat igénylő hallgatók száma az őszi félévben jelentősen növekedett, emellett a rászoruló hallgatók szociális helyzete sok esetben romlott. A támogatási keret maradéktalanul felhasználásra került. A korábbi félévek támogatáshoz viszonyítva 2020. őszi félévben azonban több száz hallgató kiesett a támogatásból, ezzel egyidőben - azonos szinten elbírált pályázatra, ugyanarra a hallgatóra közel 20%-kal kevesebb ösztöndíj jutott. </w:t>
      </w:r>
    </w:p>
    <w:p w:rsidR="00EC340B" w:rsidRDefault="00EC340B">
      <w:pPr>
        <w:rPr>
          <w:rFonts w:ascii="Times New Roman" w:hAnsi="Times New Roman" w:cs="Times New Roman"/>
          <w:b/>
          <w:i/>
          <w:sz w:val="24"/>
          <w:szCs w:val="24"/>
        </w:rPr>
      </w:pPr>
      <w:r>
        <w:rPr>
          <w:rFonts w:ascii="Times New Roman" w:hAnsi="Times New Roman" w:cs="Times New Roman"/>
          <w:b/>
          <w:i/>
          <w:sz w:val="24"/>
          <w:szCs w:val="24"/>
        </w:rPr>
        <w:br w:type="page"/>
      </w:r>
    </w:p>
    <w:p w:rsidR="007F735A" w:rsidRPr="007F735A" w:rsidRDefault="007F735A" w:rsidP="00EC340B">
      <w:pPr>
        <w:spacing w:after="60"/>
        <w:ind w:right="28"/>
        <w:jc w:val="both"/>
        <w:rPr>
          <w:rFonts w:ascii="Times New Roman" w:hAnsi="Times New Roman" w:cs="Times New Roman"/>
          <w:b/>
          <w:i/>
          <w:sz w:val="24"/>
          <w:szCs w:val="24"/>
        </w:rPr>
      </w:pPr>
      <w:r w:rsidRPr="007F735A">
        <w:rPr>
          <w:rFonts w:ascii="Times New Roman" w:hAnsi="Times New Roman" w:cs="Times New Roman"/>
          <w:b/>
          <w:i/>
          <w:sz w:val="24"/>
          <w:szCs w:val="24"/>
        </w:rPr>
        <w:lastRenderedPageBreak/>
        <w:t>Lakhatási támogatás - Kollégiumi támogatás</w:t>
      </w:r>
    </w:p>
    <w:p w:rsidR="007F735A" w:rsidRDefault="007F735A" w:rsidP="00ED50AA">
      <w:pPr>
        <w:spacing w:after="0"/>
        <w:jc w:val="both"/>
        <w:rPr>
          <w:rFonts w:ascii="Times New Roman" w:hAnsi="Times New Roman" w:cs="Times New Roman"/>
          <w:sz w:val="24"/>
          <w:szCs w:val="24"/>
        </w:rPr>
      </w:pPr>
      <w:r>
        <w:rPr>
          <w:rFonts w:ascii="Times New Roman" w:hAnsi="Times New Roman" w:cs="Times New Roman"/>
          <w:sz w:val="24"/>
          <w:szCs w:val="24"/>
        </w:rPr>
        <w:t>A kollégiumba felvett hallgatók 2020. márciusban, az előállt rendkívüli helyzetben, jogszabályi döntés alapján nagy arányban hazaköltöztek / kiköltöztek, igy a bent lakó kollégisták száma jelentősen csökkent.</w:t>
      </w:r>
    </w:p>
    <w:p w:rsidR="007F735A" w:rsidRPr="00DF54E0" w:rsidRDefault="007F735A" w:rsidP="00EC340B">
      <w:pPr>
        <w:spacing w:after="240"/>
        <w:jc w:val="both"/>
        <w:rPr>
          <w:rFonts w:ascii="Times New Roman" w:hAnsi="Times New Roman" w:cs="Times New Roman"/>
          <w:sz w:val="24"/>
          <w:szCs w:val="24"/>
        </w:rPr>
      </w:pPr>
      <w:r w:rsidRPr="00DF54E0">
        <w:rPr>
          <w:rFonts w:ascii="Times New Roman" w:hAnsi="Times New Roman" w:cs="Times New Roman"/>
          <w:sz w:val="24"/>
          <w:szCs w:val="24"/>
        </w:rPr>
        <w:t>A lakhatási támogatás kiszámításakor a jogosultak számát a számítás alapjául szolgáló hallgatói alaplétszám és a kollégiumban lakó hallgatók valamint a helyben lakók számának különbözete határozza meg. A kollégiumban lakók számának csökkenésével megnövekedett a lakhatási támogatáshoz rendelt jogosult létszám. Ennek eredményeképpen Intézményünk 104,13 m Ft többlettámogatásra tarthat igényt. A lakhatási támogatás összegének növekedésével párhuzamosan a</w:t>
      </w:r>
      <w:r w:rsidRPr="00DF54E0">
        <w:t xml:space="preserve"> </w:t>
      </w:r>
      <w:r w:rsidRPr="00DF54E0">
        <w:rPr>
          <w:rFonts w:ascii="Times New Roman" w:hAnsi="Times New Roman" w:cs="Times New Roman"/>
          <w:sz w:val="24"/>
          <w:szCs w:val="24"/>
        </w:rPr>
        <w:t>kollégiumban lakók létszáma alapján meghatározott, jogosult  Kollégiumi támogatás összege a rendelkezésre álló támogatáshoz viszonyítva 52,89 m Ft-tal csökkent, mely Fenntartó javára számolható el.</w:t>
      </w:r>
    </w:p>
    <w:p w:rsidR="007F735A" w:rsidRPr="007F735A" w:rsidRDefault="007F735A" w:rsidP="00EC340B">
      <w:pPr>
        <w:spacing w:after="60"/>
        <w:ind w:right="28"/>
        <w:jc w:val="both"/>
        <w:rPr>
          <w:rFonts w:ascii="Times New Roman" w:hAnsi="Times New Roman" w:cs="Times New Roman"/>
          <w:b/>
          <w:i/>
          <w:sz w:val="24"/>
          <w:szCs w:val="24"/>
        </w:rPr>
      </w:pPr>
      <w:r w:rsidRPr="007F735A">
        <w:rPr>
          <w:rFonts w:ascii="Times New Roman" w:hAnsi="Times New Roman" w:cs="Times New Roman"/>
          <w:b/>
          <w:i/>
          <w:sz w:val="24"/>
          <w:szCs w:val="24"/>
        </w:rPr>
        <w:t>Doktoranduszok ösztöndíja</w:t>
      </w:r>
      <w:r w:rsidRPr="007F735A">
        <w:rPr>
          <w:rFonts w:ascii="Times New Roman" w:hAnsi="Times New Roman" w:cs="Times New Roman"/>
          <w:b/>
          <w:i/>
          <w:sz w:val="24"/>
          <w:szCs w:val="24"/>
        </w:rPr>
        <w:softHyphen/>
      </w:r>
    </w:p>
    <w:p w:rsidR="007F735A" w:rsidRDefault="002874C0" w:rsidP="00666376">
      <w:pPr>
        <w:spacing w:after="280"/>
        <w:ind w:right="28"/>
        <w:jc w:val="both"/>
        <w:rPr>
          <w:rFonts w:ascii="Times New Roman" w:hAnsi="Times New Roman" w:cs="Times New Roman"/>
          <w:sz w:val="24"/>
          <w:szCs w:val="24"/>
        </w:rPr>
      </w:pPr>
      <w:r>
        <w:rPr>
          <w:rFonts w:ascii="Times New Roman" w:hAnsi="Times New Roman" w:cs="Times New Roman"/>
          <w:sz w:val="24"/>
          <w:szCs w:val="24"/>
        </w:rPr>
        <w:t>2020</w:t>
      </w:r>
      <w:r w:rsidR="007F735A" w:rsidRPr="000B76C6">
        <w:rPr>
          <w:rFonts w:ascii="Times New Roman" w:hAnsi="Times New Roman" w:cs="Times New Roman"/>
          <w:sz w:val="24"/>
          <w:szCs w:val="24"/>
        </w:rPr>
        <w:t>-202</w:t>
      </w:r>
      <w:r w:rsidR="007F735A">
        <w:rPr>
          <w:rFonts w:ascii="Times New Roman" w:hAnsi="Times New Roman" w:cs="Times New Roman"/>
          <w:sz w:val="24"/>
          <w:szCs w:val="24"/>
        </w:rPr>
        <w:t>1</w:t>
      </w:r>
      <w:r w:rsidR="007F735A" w:rsidRPr="000B76C6">
        <w:rPr>
          <w:rFonts w:ascii="Times New Roman" w:hAnsi="Times New Roman" w:cs="Times New Roman"/>
          <w:sz w:val="24"/>
          <w:szCs w:val="24"/>
        </w:rPr>
        <w:t xml:space="preserve">. őszi félévben az aktív állami ösztöndíjas </w:t>
      </w:r>
      <w:r w:rsidR="007F735A">
        <w:rPr>
          <w:rFonts w:ascii="Times New Roman" w:hAnsi="Times New Roman" w:cs="Times New Roman"/>
          <w:sz w:val="24"/>
          <w:szCs w:val="24"/>
        </w:rPr>
        <w:t>doktoranduszok</w:t>
      </w:r>
      <w:r w:rsidR="007F735A" w:rsidRPr="000B76C6">
        <w:rPr>
          <w:rFonts w:ascii="Times New Roman" w:hAnsi="Times New Roman" w:cs="Times New Roman"/>
          <w:sz w:val="24"/>
          <w:szCs w:val="24"/>
        </w:rPr>
        <w:t xml:space="preserve"> száma </w:t>
      </w:r>
      <w:r w:rsidR="007F735A" w:rsidRPr="00DF54E0">
        <w:rPr>
          <w:rFonts w:ascii="Times New Roman" w:hAnsi="Times New Roman" w:cs="Times New Roman"/>
          <w:sz w:val="24"/>
          <w:szCs w:val="24"/>
        </w:rPr>
        <w:t>In</w:t>
      </w:r>
      <w:r w:rsidRPr="00DF54E0">
        <w:rPr>
          <w:rFonts w:ascii="Times New Roman" w:hAnsi="Times New Roman" w:cs="Times New Roman"/>
          <w:sz w:val="24"/>
          <w:szCs w:val="24"/>
        </w:rPr>
        <w:t xml:space="preserve">tézményünkben </w:t>
      </w:r>
      <w:r w:rsidR="00DF54E0" w:rsidRPr="00DF54E0">
        <w:rPr>
          <w:rFonts w:ascii="Times New Roman" w:hAnsi="Times New Roman" w:cs="Times New Roman"/>
          <w:sz w:val="24"/>
          <w:szCs w:val="24"/>
        </w:rPr>
        <w:t>1141</w:t>
      </w:r>
      <w:r w:rsidRPr="00DF54E0">
        <w:rPr>
          <w:rFonts w:ascii="Times New Roman" w:hAnsi="Times New Roman" w:cs="Times New Roman"/>
          <w:sz w:val="24"/>
          <w:szCs w:val="24"/>
        </w:rPr>
        <w:t xml:space="preserve"> fő, tavaszi - </w:t>
      </w:r>
      <w:r w:rsidR="007F735A" w:rsidRPr="00DF54E0">
        <w:rPr>
          <w:rFonts w:ascii="Times New Roman" w:hAnsi="Times New Roman" w:cs="Times New Roman"/>
          <w:sz w:val="24"/>
          <w:szCs w:val="24"/>
        </w:rPr>
        <w:t xml:space="preserve">őszi statisztikai átlagban is túllépte az ezer főt a  megelőző évhez képest. A kifizetett </w:t>
      </w:r>
      <w:r w:rsidR="007F735A">
        <w:rPr>
          <w:rFonts w:ascii="Times New Roman" w:hAnsi="Times New Roman" w:cs="Times New Roman"/>
          <w:sz w:val="24"/>
          <w:szCs w:val="24"/>
        </w:rPr>
        <w:t xml:space="preserve">ösztöndíjak összege </w:t>
      </w:r>
      <w:r w:rsidR="007F735A" w:rsidRPr="00DF54E0">
        <w:rPr>
          <w:rFonts w:ascii="Times New Roman" w:hAnsi="Times New Roman" w:cs="Times New Roman"/>
          <w:sz w:val="24"/>
          <w:szCs w:val="24"/>
        </w:rPr>
        <w:t xml:space="preserve">számottevően, </w:t>
      </w:r>
      <w:r w:rsidR="00DF54E0" w:rsidRPr="00DF54E0">
        <w:rPr>
          <w:rFonts w:ascii="Times New Roman" w:hAnsi="Times New Roman" w:cs="Times New Roman"/>
          <w:sz w:val="24"/>
          <w:szCs w:val="24"/>
        </w:rPr>
        <w:t>191,2</w:t>
      </w:r>
      <w:r w:rsidR="007F735A" w:rsidRPr="00DF54E0">
        <w:rPr>
          <w:rFonts w:ascii="Times New Roman" w:hAnsi="Times New Roman" w:cs="Times New Roman"/>
          <w:sz w:val="24"/>
          <w:szCs w:val="24"/>
        </w:rPr>
        <w:t xml:space="preserve"> m Ft</w:t>
      </w:r>
      <w:r w:rsidR="007F735A">
        <w:rPr>
          <w:rFonts w:ascii="Times New Roman" w:hAnsi="Times New Roman" w:cs="Times New Roman"/>
          <w:sz w:val="24"/>
          <w:szCs w:val="24"/>
        </w:rPr>
        <w:t>-tal meghaladta a rendelkezésre álló összeget, így Egyetemünk az éves létszámnövekedés következtében 2020. évben is többlettámogatásra jogosult.</w:t>
      </w:r>
    </w:p>
    <w:p w:rsidR="007F735A" w:rsidRPr="00666376" w:rsidRDefault="007F735A" w:rsidP="00EC340B">
      <w:pPr>
        <w:spacing w:after="240"/>
        <w:ind w:right="28"/>
        <w:jc w:val="both"/>
        <w:rPr>
          <w:rFonts w:ascii="Times New Roman" w:hAnsi="Times New Roman" w:cs="Times New Roman"/>
          <w:b/>
          <w:sz w:val="24"/>
          <w:szCs w:val="24"/>
        </w:rPr>
      </w:pPr>
      <w:r w:rsidRPr="00666376">
        <w:rPr>
          <w:rFonts w:ascii="Times New Roman" w:hAnsi="Times New Roman" w:cs="Times New Roman"/>
          <w:b/>
          <w:sz w:val="24"/>
          <w:szCs w:val="24"/>
        </w:rPr>
        <w:t>A beszámolóhoz benyújtott 12.</w:t>
      </w:r>
      <w:r w:rsidR="001C53F2" w:rsidRPr="00666376">
        <w:rPr>
          <w:rFonts w:ascii="Times New Roman" w:hAnsi="Times New Roman" w:cs="Times New Roman"/>
          <w:b/>
          <w:sz w:val="24"/>
          <w:szCs w:val="24"/>
        </w:rPr>
        <w:t xml:space="preserve"> </w:t>
      </w:r>
      <w:r w:rsidRPr="00666376">
        <w:rPr>
          <w:rFonts w:ascii="Times New Roman" w:hAnsi="Times New Roman" w:cs="Times New Roman"/>
          <w:b/>
          <w:sz w:val="24"/>
          <w:szCs w:val="24"/>
        </w:rPr>
        <w:t>sz mellékletben összegzésre került a képzési</w:t>
      </w:r>
      <w:r w:rsidR="00ED50AA" w:rsidRPr="00666376">
        <w:rPr>
          <w:rFonts w:ascii="Times New Roman" w:hAnsi="Times New Roman" w:cs="Times New Roman"/>
          <w:b/>
          <w:sz w:val="24"/>
          <w:szCs w:val="24"/>
        </w:rPr>
        <w:t xml:space="preserve"> támogatás, a speciális- és a köznevelési feladatok támogatása</w:t>
      </w:r>
      <w:r w:rsidRPr="00666376">
        <w:rPr>
          <w:rFonts w:ascii="Times New Roman" w:hAnsi="Times New Roman" w:cs="Times New Roman"/>
          <w:b/>
          <w:sz w:val="24"/>
          <w:szCs w:val="24"/>
        </w:rPr>
        <w:t xml:space="preserve">, </w:t>
      </w:r>
      <w:r w:rsidR="00ED50AA" w:rsidRPr="00666376">
        <w:rPr>
          <w:rFonts w:ascii="Times New Roman" w:hAnsi="Times New Roman" w:cs="Times New Roman"/>
          <w:b/>
          <w:sz w:val="24"/>
          <w:szCs w:val="24"/>
        </w:rPr>
        <w:t xml:space="preserve">valamint </w:t>
      </w:r>
      <w:r w:rsidRPr="00666376">
        <w:rPr>
          <w:rFonts w:ascii="Times New Roman" w:hAnsi="Times New Roman" w:cs="Times New Roman"/>
          <w:b/>
          <w:sz w:val="24"/>
          <w:szCs w:val="24"/>
        </w:rPr>
        <w:t xml:space="preserve">a PPP </w:t>
      </w:r>
      <w:r w:rsidR="00ED50AA" w:rsidRPr="00666376">
        <w:rPr>
          <w:rFonts w:ascii="Times New Roman" w:hAnsi="Times New Roman" w:cs="Times New Roman"/>
          <w:b/>
          <w:sz w:val="24"/>
          <w:szCs w:val="24"/>
        </w:rPr>
        <w:t xml:space="preserve">hozzájárulás felhasználásának </w:t>
      </w:r>
      <w:r w:rsidRPr="00666376">
        <w:rPr>
          <w:rFonts w:ascii="Times New Roman" w:hAnsi="Times New Roman" w:cs="Times New Roman"/>
          <w:b/>
          <w:sz w:val="24"/>
          <w:szCs w:val="24"/>
        </w:rPr>
        <w:t xml:space="preserve">jogosultsági elszámolása. </w:t>
      </w:r>
    </w:p>
    <w:p w:rsidR="005A1CDB" w:rsidRPr="00BE1E2F" w:rsidRDefault="007F735A" w:rsidP="00EC340B">
      <w:pPr>
        <w:spacing w:before="240" w:after="60"/>
        <w:ind w:right="28"/>
        <w:jc w:val="both"/>
        <w:rPr>
          <w:rFonts w:ascii="Times New Roman" w:hAnsi="Times New Roman" w:cs="Times New Roman"/>
          <w:b/>
          <w:i/>
          <w:sz w:val="24"/>
          <w:szCs w:val="24"/>
        </w:rPr>
      </w:pPr>
      <w:r>
        <w:rPr>
          <w:rFonts w:ascii="Times New Roman" w:hAnsi="Times New Roman" w:cs="Times New Roman"/>
          <w:b/>
          <w:i/>
          <w:sz w:val="24"/>
          <w:szCs w:val="24"/>
        </w:rPr>
        <w:t>Képzési támogatás</w:t>
      </w:r>
    </w:p>
    <w:p w:rsidR="005A1CDB" w:rsidRPr="00E473F9" w:rsidRDefault="005A1CDB" w:rsidP="00ED50AA">
      <w:pPr>
        <w:spacing w:after="0"/>
        <w:ind w:right="28"/>
        <w:jc w:val="both"/>
        <w:rPr>
          <w:rFonts w:ascii="Times New Roman" w:hAnsi="Times New Roman" w:cs="Times New Roman"/>
          <w:sz w:val="24"/>
          <w:szCs w:val="24"/>
        </w:rPr>
      </w:pPr>
      <w:r w:rsidRPr="00A44C0A">
        <w:rPr>
          <w:rFonts w:ascii="Times New Roman" w:hAnsi="Times New Roman" w:cs="Times New Roman"/>
          <w:sz w:val="24"/>
          <w:szCs w:val="24"/>
        </w:rPr>
        <w:t xml:space="preserve">A </w:t>
      </w:r>
      <w:r w:rsidR="00A44C0A" w:rsidRPr="00A44C0A">
        <w:rPr>
          <w:rFonts w:ascii="Times New Roman" w:hAnsi="Times New Roman" w:cs="Times New Roman"/>
          <w:sz w:val="24"/>
          <w:szCs w:val="24"/>
        </w:rPr>
        <w:t xml:space="preserve">2020. évi </w:t>
      </w:r>
      <w:r w:rsidRPr="00A44C0A">
        <w:rPr>
          <w:rFonts w:ascii="Times New Roman" w:hAnsi="Times New Roman" w:cs="Times New Roman"/>
          <w:sz w:val="24"/>
          <w:szCs w:val="24"/>
        </w:rPr>
        <w:t xml:space="preserve">képzési alaptámogatás 12.750,3 mFt-os keretösszegét 823,2 mFt-os elvonás terhelte, így 11.927,1 mFt-os korrigált támogatás képezte az elszámolás alapját. </w:t>
      </w:r>
      <w:r w:rsidR="00A44C0A" w:rsidRPr="00A44C0A">
        <w:rPr>
          <w:rFonts w:ascii="Times New Roman" w:hAnsi="Times New Roman" w:cs="Times New Roman"/>
          <w:sz w:val="24"/>
          <w:szCs w:val="24"/>
        </w:rPr>
        <w:t xml:space="preserve">A 2020. évi 12.599,9 mFt jogosultság összességében </w:t>
      </w:r>
      <w:r w:rsidR="00A44C0A" w:rsidRPr="002B0F78">
        <w:rPr>
          <w:rFonts w:ascii="Times New Roman" w:hAnsi="Times New Roman" w:cs="Times New Roman"/>
          <w:b/>
          <w:sz w:val="24"/>
          <w:szCs w:val="24"/>
        </w:rPr>
        <w:t>672,8 mFt-os többletigényt</w:t>
      </w:r>
      <w:r w:rsidR="00A44C0A" w:rsidRPr="00A44C0A">
        <w:rPr>
          <w:rFonts w:ascii="Times New Roman" w:hAnsi="Times New Roman" w:cs="Times New Roman"/>
          <w:sz w:val="24"/>
          <w:szCs w:val="24"/>
        </w:rPr>
        <w:t xml:space="preserve"> keletkeztetett. </w:t>
      </w:r>
      <w:r w:rsidR="00157540" w:rsidRPr="003313BE">
        <w:rPr>
          <w:rFonts w:ascii="Times New Roman" w:hAnsi="Times New Roman" w:cs="Times New Roman"/>
          <w:sz w:val="24"/>
          <w:szCs w:val="24"/>
        </w:rPr>
        <w:t xml:space="preserve">A </w:t>
      </w:r>
      <w:r w:rsidR="00157540">
        <w:rPr>
          <w:rFonts w:ascii="Times New Roman" w:hAnsi="Times New Roman" w:cs="Times New Roman"/>
          <w:sz w:val="24"/>
          <w:szCs w:val="24"/>
        </w:rPr>
        <w:t xml:space="preserve">képzési támogatáshoz kapcsolódó </w:t>
      </w:r>
      <w:r w:rsidR="00ED50AA">
        <w:rPr>
          <w:rFonts w:ascii="Times New Roman" w:hAnsi="Times New Roman" w:cs="Times New Roman"/>
          <w:sz w:val="24"/>
          <w:szCs w:val="24"/>
        </w:rPr>
        <w:t>részletes elszámolás</w:t>
      </w:r>
      <w:r w:rsidR="00157540">
        <w:rPr>
          <w:rFonts w:ascii="Times New Roman" w:hAnsi="Times New Roman" w:cs="Times New Roman"/>
          <w:sz w:val="24"/>
          <w:szCs w:val="24"/>
        </w:rPr>
        <w:t xml:space="preserve"> a 12/A </w:t>
      </w:r>
      <w:r w:rsidR="00157540" w:rsidRPr="003313BE">
        <w:rPr>
          <w:rFonts w:ascii="Times New Roman" w:hAnsi="Times New Roman" w:cs="Times New Roman"/>
          <w:sz w:val="24"/>
          <w:szCs w:val="24"/>
        </w:rPr>
        <w:t>táblában</w:t>
      </w:r>
      <w:r w:rsidR="00157540">
        <w:rPr>
          <w:rFonts w:ascii="Times New Roman" w:hAnsi="Times New Roman" w:cs="Times New Roman"/>
          <w:sz w:val="24"/>
          <w:szCs w:val="24"/>
        </w:rPr>
        <w:t xml:space="preserve"> került bemutatásra. </w:t>
      </w:r>
    </w:p>
    <w:p w:rsidR="006901DE" w:rsidRDefault="007F735A" w:rsidP="00EC340B">
      <w:pPr>
        <w:spacing w:before="240" w:after="60"/>
        <w:ind w:right="28"/>
        <w:jc w:val="both"/>
        <w:rPr>
          <w:rFonts w:ascii="Times New Roman" w:hAnsi="Times New Roman" w:cs="Times New Roman"/>
          <w:b/>
          <w:i/>
          <w:sz w:val="24"/>
          <w:szCs w:val="24"/>
        </w:rPr>
      </w:pPr>
      <w:r>
        <w:rPr>
          <w:rFonts w:ascii="Times New Roman" w:hAnsi="Times New Roman" w:cs="Times New Roman"/>
          <w:b/>
          <w:i/>
          <w:sz w:val="24"/>
          <w:szCs w:val="24"/>
        </w:rPr>
        <w:t>Speciális feladatok támogatása</w:t>
      </w:r>
    </w:p>
    <w:p w:rsidR="004C1035" w:rsidRDefault="005A1CDB" w:rsidP="00EC340B">
      <w:pPr>
        <w:spacing w:after="0"/>
        <w:ind w:right="28"/>
        <w:jc w:val="both"/>
        <w:rPr>
          <w:rFonts w:ascii="Times New Roman" w:hAnsi="Times New Roman" w:cs="Times New Roman"/>
          <w:sz w:val="24"/>
          <w:szCs w:val="24"/>
        </w:rPr>
      </w:pPr>
      <w:r>
        <w:rPr>
          <w:rFonts w:ascii="Times New Roman" w:hAnsi="Times New Roman" w:cs="Times New Roman"/>
          <w:sz w:val="24"/>
          <w:szCs w:val="24"/>
        </w:rPr>
        <w:t xml:space="preserve">A speciális </w:t>
      </w:r>
      <w:r w:rsidR="006901DE" w:rsidRPr="004C1035">
        <w:rPr>
          <w:rFonts w:ascii="Times New Roman" w:hAnsi="Times New Roman" w:cs="Times New Roman"/>
          <w:sz w:val="24"/>
          <w:szCs w:val="24"/>
        </w:rPr>
        <w:t xml:space="preserve">programok és feladatok támogatására a 2020. évre szóló költségvetésben kapott támogatás és az elszámolásban kimutatott felhasználás alapján 434,0 mFt többletigény jelentkezik, melynek jelentős része (421,3 mFt) az oktatók és kutatók, tanárok garantált illetményének növelése támogatási jogcímhez kapcsolódóan jelentkezett. A további többletigény az anyanyelvi lektorok támogatása jogcímen, 6,8 mFt értékben és a fogyatékossággal élő hallgatók </w:t>
      </w:r>
      <w:r w:rsidR="004C1035" w:rsidRPr="004C1035">
        <w:rPr>
          <w:rFonts w:ascii="Times New Roman" w:hAnsi="Times New Roman" w:cs="Times New Roman"/>
          <w:sz w:val="24"/>
          <w:szCs w:val="24"/>
        </w:rPr>
        <w:t xml:space="preserve">utáni normatív támogatási jogcímen, 4,9 mFt értékben jelentkezett. Ebből a fogyatékossággal élő hallgatók jogosult létszáma utáni normatív támogatás és felhasználás közötti különbözet igényelhető. </w:t>
      </w:r>
      <w:r w:rsidR="004C1035" w:rsidRPr="003313BE">
        <w:rPr>
          <w:rFonts w:ascii="Times New Roman" w:hAnsi="Times New Roman" w:cs="Times New Roman"/>
          <w:sz w:val="24"/>
          <w:szCs w:val="24"/>
        </w:rPr>
        <w:t xml:space="preserve">A </w:t>
      </w:r>
      <w:r w:rsidR="004C1035">
        <w:rPr>
          <w:rFonts w:ascii="Times New Roman" w:hAnsi="Times New Roman" w:cs="Times New Roman"/>
          <w:sz w:val="24"/>
          <w:szCs w:val="24"/>
        </w:rPr>
        <w:t xml:space="preserve">speciális </w:t>
      </w:r>
      <w:r w:rsidR="00ED50AA">
        <w:rPr>
          <w:rFonts w:ascii="Times New Roman" w:hAnsi="Times New Roman" w:cs="Times New Roman"/>
          <w:sz w:val="24"/>
          <w:szCs w:val="24"/>
        </w:rPr>
        <w:t>feladatokhoz</w:t>
      </w:r>
      <w:r w:rsidR="004C1035">
        <w:rPr>
          <w:rFonts w:ascii="Times New Roman" w:hAnsi="Times New Roman" w:cs="Times New Roman"/>
          <w:sz w:val="24"/>
          <w:szCs w:val="24"/>
        </w:rPr>
        <w:t xml:space="preserve"> kapcsolódó </w:t>
      </w:r>
      <w:r w:rsidR="00ED50AA">
        <w:rPr>
          <w:rFonts w:ascii="Times New Roman" w:hAnsi="Times New Roman" w:cs="Times New Roman"/>
          <w:sz w:val="24"/>
          <w:szCs w:val="24"/>
        </w:rPr>
        <w:t>részletes elszámolások a 12/B, 12/B1</w:t>
      </w:r>
      <w:r w:rsidR="004C1035">
        <w:rPr>
          <w:rFonts w:ascii="Times New Roman" w:hAnsi="Times New Roman" w:cs="Times New Roman"/>
          <w:sz w:val="24"/>
          <w:szCs w:val="24"/>
        </w:rPr>
        <w:t xml:space="preserve"> </w:t>
      </w:r>
      <w:r w:rsidR="004C1035" w:rsidRPr="003313BE">
        <w:rPr>
          <w:rFonts w:ascii="Times New Roman" w:hAnsi="Times New Roman" w:cs="Times New Roman"/>
          <w:sz w:val="24"/>
          <w:szCs w:val="24"/>
        </w:rPr>
        <w:t>táblában</w:t>
      </w:r>
      <w:r w:rsidR="004C1035">
        <w:rPr>
          <w:rFonts w:ascii="Times New Roman" w:hAnsi="Times New Roman" w:cs="Times New Roman"/>
          <w:sz w:val="24"/>
          <w:szCs w:val="24"/>
        </w:rPr>
        <w:t xml:space="preserve"> kerültek bemutatásra. </w:t>
      </w:r>
    </w:p>
    <w:p w:rsidR="006901DE" w:rsidRDefault="006901DE" w:rsidP="003313BE">
      <w:pPr>
        <w:spacing w:after="0"/>
        <w:ind w:right="28"/>
        <w:jc w:val="both"/>
        <w:rPr>
          <w:rFonts w:ascii="Times New Roman" w:hAnsi="Times New Roman" w:cs="Times New Roman"/>
          <w:b/>
          <w:i/>
          <w:sz w:val="24"/>
          <w:szCs w:val="24"/>
        </w:rPr>
      </w:pPr>
    </w:p>
    <w:p w:rsidR="00EC340B" w:rsidRDefault="00EC340B">
      <w:pPr>
        <w:rPr>
          <w:rFonts w:ascii="Times New Roman" w:hAnsi="Times New Roman" w:cs="Times New Roman"/>
          <w:b/>
          <w:i/>
          <w:sz w:val="24"/>
          <w:szCs w:val="24"/>
        </w:rPr>
      </w:pPr>
      <w:r>
        <w:rPr>
          <w:rFonts w:ascii="Times New Roman" w:hAnsi="Times New Roman" w:cs="Times New Roman"/>
          <w:b/>
          <w:i/>
          <w:sz w:val="24"/>
          <w:szCs w:val="24"/>
        </w:rPr>
        <w:br w:type="page"/>
      </w:r>
    </w:p>
    <w:p w:rsidR="007C27BA" w:rsidRPr="000557E2" w:rsidRDefault="007C27BA" w:rsidP="003313BE">
      <w:pPr>
        <w:spacing w:after="0"/>
        <w:ind w:right="28"/>
        <w:jc w:val="both"/>
        <w:rPr>
          <w:rFonts w:ascii="Times New Roman" w:hAnsi="Times New Roman" w:cs="Times New Roman"/>
          <w:b/>
          <w:i/>
          <w:sz w:val="24"/>
          <w:szCs w:val="24"/>
        </w:rPr>
      </w:pPr>
      <w:r w:rsidRPr="000557E2">
        <w:rPr>
          <w:rFonts w:ascii="Times New Roman" w:hAnsi="Times New Roman" w:cs="Times New Roman"/>
          <w:b/>
          <w:i/>
          <w:sz w:val="24"/>
          <w:szCs w:val="24"/>
        </w:rPr>
        <w:lastRenderedPageBreak/>
        <w:t>Kö</w:t>
      </w:r>
      <w:r w:rsidR="007F735A">
        <w:rPr>
          <w:rFonts w:ascii="Times New Roman" w:hAnsi="Times New Roman" w:cs="Times New Roman"/>
          <w:b/>
          <w:i/>
          <w:sz w:val="24"/>
          <w:szCs w:val="24"/>
        </w:rPr>
        <w:t>znevelési feladatok támogatása</w:t>
      </w:r>
    </w:p>
    <w:p w:rsidR="007C27BA" w:rsidRPr="00655F33" w:rsidRDefault="00655F33" w:rsidP="00EC340B">
      <w:pPr>
        <w:spacing w:after="60" w:line="240" w:lineRule="auto"/>
        <w:ind w:right="28"/>
        <w:jc w:val="both"/>
        <w:rPr>
          <w:rFonts w:ascii="Times New Roman" w:hAnsi="Times New Roman" w:cs="Times New Roman"/>
          <w:sz w:val="24"/>
          <w:szCs w:val="24"/>
        </w:rPr>
      </w:pPr>
      <w:r w:rsidRPr="00655F33">
        <w:rPr>
          <w:rFonts w:ascii="Times New Roman" w:hAnsi="Times New Roman" w:cs="Times New Roman"/>
          <w:sz w:val="24"/>
          <w:szCs w:val="24"/>
        </w:rPr>
        <w:t>A köznevelési feladatokra a 2020</w:t>
      </w:r>
      <w:r w:rsidR="007C27BA" w:rsidRPr="00655F33">
        <w:rPr>
          <w:rFonts w:ascii="Times New Roman" w:hAnsi="Times New Roman" w:cs="Times New Roman"/>
          <w:sz w:val="24"/>
          <w:szCs w:val="24"/>
        </w:rPr>
        <w:t>. évre szóló költs</w:t>
      </w:r>
      <w:r w:rsidR="00B371B6">
        <w:rPr>
          <w:rFonts w:ascii="Times New Roman" w:hAnsi="Times New Roman" w:cs="Times New Roman"/>
          <w:sz w:val="24"/>
          <w:szCs w:val="24"/>
        </w:rPr>
        <w:t xml:space="preserve">égvetésben kapott támogatás és </w:t>
      </w:r>
      <w:r w:rsidR="007C27BA" w:rsidRPr="00655F33">
        <w:rPr>
          <w:rFonts w:ascii="Times New Roman" w:hAnsi="Times New Roman" w:cs="Times New Roman"/>
          <w:sz w:val="24"/>
          <w:szCs w:val="24"/>
        </w:rPr>
        <w:t>az elszámolásban kimutatott felhasználás alapján</w:t>
      </w:r>
      <w:r w:rsidR="00B371B6">
        <w:rPr>
          <w:rFonts w:ascii="Times New Roman" w:hAnsi="Times New Roman" w:cs="Times New Roman"/>
          <w:sz w:val="24"/>
          <w:szCs w:val="24"/>
        </w:rPr>
        <w:t xml:space="preserve"> </w:t>
      </w:r>
      <w:r w:rsidR="004437F8">
        <w:rPr>
          <w:rFonts w:ascii="Times New Roman" w:hAnsi="Times New Roman" w:cs="Times New Roman"/>
          <w:sz w:val="24"/>
          <w:szCs w:val="24"/>
        </w:rPr>
        <w:t xml:space="preserve">várhatóan </w:t>
      </w:r>
      <w:r w:rsidR="003313BE">
        <w:rPr>
          <w:rFonts w:ascii="Times New Roman" w:hAnsi="Times New Roman" w:cs="Times New Roman"/>
          <w:sz w:val="24"/>
          <w:szCs w:val="24"/>
        </w:rPr>
        <w:t xml:space="preserve">143,9 mFt </w:t>
      </w:r>
      <w:r w:rsidR="007C27BA" w:rsidRPr="003313BE">
        <w:rPr>
          <w:rFonts w:ascii="Times New Roman" w:hAnsi="Times New Roman" w:cs="Times New Roman"/>
          <w:sz w:val="24"/>
          <w:szCs w:val="24"/>
        </w:rPr>
        <w:t>többletigény</w:t>
      </w:r>
      <w:r w:rsidR="007C27BA" w:rsidRPr="00655F33">
        <w:rPr>
          <w:rFonts w:ascii="Times New Roman" w:hAnsi="Times New Roman" w:cs="Times New Roman"/>
          <w:sz w:val="24"/>
          <w:szCs w:val="24"/>
        </w:rPr>
        <w:t xml:space="preserve"> jelentkezik. A hiány kialakulásához a következő tényezők járultak hozzá. </w:t>
      </w:r>
    </w:p>
    <w:p w:rsidR="007C27BA" w:rsidRPr="00655F33" w:rsidRDefault="007C27BA" w:rsidP="00B371B6">
      <w:pPr>
        <w:pStyle w:val="NormlWeb"/>
        <w:numPr>
          <w:ilvl w:val="0"/>
          <w:numId w:val="35"/>
        </w:numPr>
        <w:spacing w:before="0" w:beforeAutospacing="0" w:after="0" w:afterAutospacing="0"/>
        <w:ind w:left="357" w:hanging="357"/>
        <w:jc w:val="both"/>
      </w:pPr>
      <w:r w:rsidRPr="00655F33">
        <w:t>A pedagógus életpályamodel</w:t>
      </w:r>
      <w:r w:rsidR="00655F33">
        <w:t>lhez kapcsolódó minősítések 2020</w:t>
      </w:r>
      <w:r w:rsidRPr="00655F33">
        <w:t xml:space="preserve">. évben is folytatódtak, mely jelentős személyi többletköltséggel járt. </w:t>
      </w:r>
    </w:p>
    <w:p w:rsidR="007C27BA" w:rsidRPr="00655F33" w:rsidRDefault="007C27BA" w:rsidP="00655F33">
      <w:pPr>
        <w:pStyle w:val="NormlWeb"/>
        <w:numPr>
          <w:ilvl w:val="0"/>
          <w:numId w:val="35"/>
        </w:numPr>
        <w:spacing w:line="276" w:lineRule="auto"/>
        <w:ind w:left="357" w:hanging="357"/>
        <w:jc w:val="both"/>
      </w:pPr>
      <w:r w:rsidRPr="00655F33">
        <w:t>Az ELTE tanárképzés felfutása az elmúlt időszakban megnövelte a gyakorlati órák iránti igényt, amely a vezetőtanári órakedvezmények miatt kapacitás kiesést okozott az ELTE köznevelési gyakorló intézményeiben. A kapacitás kiesés pótlását az intézmények új státuszok létesítésével, valamint többletmunkával oldották meg, melynek ellentételezése személyi többletköltséget generált.</w:t>
      </w:r>
    </w:p>
    <w:p w:rsidR="00B371B6" w:rsidRDefault="007C27BA" w:rsidP="00655F33">
      <w:pPr>
        <w:pStyle w:val="NormlWeb"/>
        <w:numPr>
          <w:ilvl w:val="0"/>
          <w:numId w:val="35"/>
        </w:numPr>
        <w:spacing w:line="276" w:lineRule="auto"/>
        <w:ind w:left="357" w:hanging="357"/>
        <w:jc w:val="both"/>
      </w:pPr>
      <w:r w:rsidRPr="00655F33">
        <w:t xml:space="preserve">Az egyes oktatási intézmények állagának romlása, a rekonstrukciós és karbantartási igények halmozódása miatt nem várt </w:t>
      </w:r>
      <w:r w:rsidR="00B371B6">
        <w:t xml:space="preserve">kiadások jelentkeztek. </w:t>
      </w:r>
    </w:p>
    <w:p w:rsidR="00B371B6" w:rsidRDefault="00B371B6" w:rsidP="00655F33">
      <w:pPr>
        <w:pStyle w:val="NormlWeb"/>
        <w:numPr>
          <w:ilvl w:val="0"/>
          <w:numId w:val="35"/>
        </w:numPr>
        <w:spacing w:line="276" w:lineRule="auto"/>
        <w:ind w:left="357" w:hanging="357"/>
        <w:jc w:val="both"/>
      </w:pPr>
      <w:r>
        <w:t xml:space="preserve">A jogszabályi változások folytán a </w:t>
      </w:r>
      <w:r w:rsidRPr="00873BC7">
        <w:t>Gyakorló Országos Pedagógiai Szakszolgálat</w:t>
      </w:r>
      <w:r>
        <w:t xml:space="preserve"> feladatköre jelentősen bővült, mely egyszeri és rendszeres költségeket generált.</w:t>
      </w:r>
    </w:p>
    <w:p w:rsidR="003313BE" w:rsidRDefault="00B371B6" w:rsidP="00B444A3">
      <w:pPr>
        <w:pStyle w:val="NormlWeb"/>
        <w:numPr>
          <w:ilvl w:val="0"/>
          <w:numId w:val="35"/>
        </w:numPr>
        <w:spacing w:before="0" w:beforeAutospacing="0" w:after="0" w:afterAutospacing="0" w:line="276" w:lineRule="auto"/>
        <w:ind w:left="357" w:hanging="357"/>
        <w:jc w:val="both"/>
      </w:pPr>
      <w:r>
        <w:t xml:space="preserve">A szombathelyi köznevelési intézmény működtetéséhez kapcsolódó önkormányzati támogatás tárgyévben csökkent.  </w:t>
      </w:r>
    </w:p>
    <w:p w:rsidR="00B444A3" w:rsidRPr="00655F33" w:rsidRDefault="001F7BD1" w:rsidP="00E473F9">
      <w:pPr>
        <w:pStyle w:val="NormlWeb"/>
        <w:spacing w:before="0" w:beforeAutospacing="0" w:after="120" w:afterAutospacing="0" w:line="276" w:lineRule="auto"/>
        <w:jc w:val="both"/>
      </w:pPr>
      <w:r>
        <w:t>A köznevelési feladatellátás</w:t>
      </w:r>
      <w:r w:rsidR="003313BE">
        <w:t xml:space="preserve"> részletes számszaki bemutat</w:t>
      </w:r>
      <w:r>
        <w:t>ása a 12/C mellékletben szerepel.</w:t>
      </w:r>
    </w:p>
    <w:p w:rsidR="00B917E3" w:rsidRPr="00B917E3" w:rsidRDefault="007C27BA" w:rsidP="00EC340B">
      <w:pPr>
        <w:spacing w:before="240" w:after="60"/>
        <w:ind w:right="28"/>
        <w:jc w:val="both"/>
        <w:rPr>
          <w:rFonts w:ascii="Times New Roman" w:hAnsi="Times New Roman" w:cs="Times New Roman"/>
          <w:b/>
          <w:i/>
          <w:sz w:val="24"/>
          <w:szCs w:val="24"/>
        </w:rPr>
      </w:pPr>
      <w:r w:rsidRPr="00B917E3">
        <w:rPr>
          <w:rFonts w:ascii="Times New Roman" w:hAnsi="Times New Roman" w:cs="Times New Roman"/>
          <w:b/>
          <w:i/>
          <w:sz w:val="24"/>
          <w:szCs w:val="24"/>
        </w:rPr>
        <w:t>PPP hozzájár</w:t>
      </w:r>
      <w:r w:rsidR="00B917E3" w:rsidRPr="00B917E3">
        <w:rPr>
          <w:rFonts w:ascii="Times New Roman" w:hAnsi="Times New Roman" w:cs="Times New Roman"/>
          <w:b/>
          <w:i/>
          <w:sz w:val="24"/>
          <w:szCs w:val="24"/>
        </w:rPr>
        <w:t>ulás</w:t>
      </w:r>
    </w:p>
    <w:p w:rsidR="003313BE" w:rsidRPr="003C16B5" w:rsidRDefault="007C27BA" w:rsidP="00EC340B">
      <w:pPr>
        <w:keepNext/>
        <w:keepLines/>
        <w:spacing w:after="280"/>
        <w:jc w:val="both"/>
        <w:outlineLvl w:val="1"/>
        <w:rPr>
          <w:rFonts w:ascii="Times New Roman" w:hAnsi="Times New Roman" w:cs="Times New Roman"/>
          <w:sz w:val="24"/>
          <w:szCs w:val="24"/>
        </w:rPr>
      </w:pPr>
      <w:r w:rsidRPr="000557E2">
        <w:rPr>
          <w:rFonts w:ascii="Times New Roman" w:hAnsi="Times New Roman" w:cs="Times New Roman"/>
          <w:sz w:val="24"/>
          <w:szCs w:val="24"/>
        </w:rPr>
        <w:t>A PPP hozz</w:t>
      </w:r>
      <w:r w:rsidR="000557E2" w:rsidRPr="000557E2">
        <w:rPr>
          <w:rFonts w:ascii="Times New Roman" w:hAnsi="Times New Roman" w:cs="Times New Roman"/>
          <w:sz w:val="24"/>
          <w:szCs w:val="24"/>
        </w:rPr>
        <w:t xml:space="preserve">ájárulás összege nem fedezte a </w:t>
      </w:r>
      <w:r w:rsidRPr="000557E2">
        <w:rPr>
          <w:rFonts w:ascii="Times New Roman" w:hAnsi="Times New Roman" w:cs="Times New Roman"/>
          <w:sz w:val="24"/>
          <w:szCs w:val="24"/>
        </w:rPr>
        <w:t xml:space="preserve">kiadások 50%-át, </w:t>
      </w:r>
      <w:r w:rsidR="000557E2" w:rsidRPr="000557E2">
        <w:rPr>
          <w:rFonts w:ascii="Times New Roman" w:hAnsi="Times New Roman" w:cs="Times New Roman"/>
          <w:sz w:val="24"/>
          <w:szCs w:val="24"/>
        </w:rPr>
        <w:t>118,0 mFt-tal meghaladta azt</w:t>
      </w:r>
      <w:r w:rsidR="001F7BD1">
        <w:rPr>
          <w:rFonts w:ascii="Times New Roman" w:hAnsi="Times New Roman" w:cs="Times New Roman"/>
          <w:sz w:val="24"/>
          <w:szCs w:val="24"/>
        </w:rPr>
        <w:t xml:space="preserve">, ugyanakkor a különbözet nem leigényelhető. </w:t>
      </w:r>
      <w:r w:rsidR="003313BE" w:rsidRPr="003313BE">
        <w:rPr>
          <w:rFonts w:ascii="Times New Roman" w:hAnsi="Times New Roman" w:cs="Times New Roman"/>
          <w:sz w:val="24"/>
          <w:szCs w:val="24"/>
        </w:rPr>
        <w:t>A PPP konst</w:t>
      </w:r>
      <w:r w:rsidR="003313BE">
        <w:rPr>
          <w:rFonts w:ascii="Times New Roman" w:hAnsi="Times New Roman" w:cs="Times New Roman"/>
          <w:sz w:val="24"/>
          <w:szCs w:val="24"/>
        </w:rPr>
        <w:t>rukcióhoz kapcsolódó</w:t>
      </w:r>
      <w:r w:rsidR="00FB16CE">
        <w:rPr>
          <w:rFonts w:ascii="Times New Roman" w:hAnsi="Times New Roman" w:cs="Times New Roman"/>
          <w:sz w:val="24"/>
          <w:szCs w:val="24"/>
        </w:rPr>
        <w:t xml:space="preserve"> részletes</w:t>
      </w:r>
      <w:r w:rsidR="003313BE">
        <w:rPr>
          <w:rFonts w:ascii="Times New Roman" w:hAnsi="Times New Roman" w:cs="Times New Roman"/>
          <w:sz w:val="24"/>
          <w:szCs w:val="24"/>
        </w:rPr>
        <w:t xml:space="preserve"> elszámolás</w:t>
      </w:r>
      <w:r w:rsidR="003313BE" w:rsidRPr="003313BE">
        <w:rPr>
          <w:rFonts w:ascii="Times New Roman" w:hAnsi="Times New Roman" w:cs="Times New Roman"/>
          <w:sz w:val="24"/>
          <w:szCs w:val="24"/>
        </w:rPr>
        <w:t xml:space="preserve"> a 12/D táblában</w:t>
      </w:r>
      <w:r w:rsidR="003313BE">
        <w:rPr>
          <w:rFonts w:ascii="Times New Roman" w:hAnsi="Times New Roman" w:cs="Times New Roman"/>
          <w:sz w:val="24"/>
          <w:szCs w:val="24"/>
        </w:rPr>
        <w:t xml:space="preserve"> kerül</w:t>
      </w:r>
      <w:r w:rsidR="001F7BD1">
        <w:rPr>
          <w:rFonts w:ascii="Times New Roman" w:hAnsi="Times New Roman" w:cs="Times New Roman"/>
          <w:sz w:val="24"/>
          <w:szCs w:val="24"/>
        </w:rPr>
        <w:t>t</w:t>
      </w:r>
      <w:r w:rsidR="003C16B5">
        <w:rPr>
          <w:rFonts w:ascii="Times New Roman" w:hAnsi="Times New Roman" w:cs="Times New Roman"/>
          <w:sz w:val="24"/>
          <w:szCs w:val="24"/>
        </w:rPr>
        <w:t xml:space="preserve"> bemutatásra. </w:t>
      </w:r>
    </w:p>
    <w:p w:rsidR="00683738" w:rsidRDefault="00A73803" w:rsidP="00EC340B">
      <w:pPr>
        <w:spacing w:before="240" w:after="0"/>
        <w:jc w:val="both"/>
        <w:rPr>
          <w:rFonts w:ascii="Times New Roman" w:hAnsi="Times New Roman" w:cs="Times New Roman"/>
          <w:b/>
          <w:sz w:val="24"/>
          <w:szCs w:val="24"/>
        </w:rPr>
      </w:pPr>
      <w:r>
        <w:rPr>
          <w:rFonts w:ascii="Times New Roman" w:hAnsi="Times New Roman" w:cs="Times New Roman"/>
          <w:b/>
          <w:sz w:val="24"/>
          <w:szCs w:val="24"/>
        </w:rPr>
        <w:t xml:space="preserve">II.9 </w:t>
      </w:r>
      <w:r w:rsidRPr="00221CF5">
        <w:rPr>
          <w:rFonts w:ascii="Times New Roman" w:hAnsi="Times New Roman" w:cs="Times New Roman"/>
          <w:b/>
          <w:sz w:val="24"/>
          <w:szCs w:val="24"/>
        </w:rPr>
        <w:t>Tartós részesedések</w:t>
      </w:r>
    </w:p>
    <w:p w:rsidR="00A73803" w:rsidRPr="00683738" w:rsidRDefault="00A73803" w:rsidP="00E473F9">
      <w:pPr>
        <w:spacing w:after="0"/>
        <w:jc w:val="both"/>
        <w:rPr>
          <w:rFonts w:ascii="Times New Roman" w:hAnsi="Times New Roman" w:cs="Times New Roman"/>
          <w:b/>
          <w:sz w:val="24"/>
          <w:szCs w:val="24"/>
        </w:rPr>
      </w:pPr>
      <w:r w:rsidRPr="00221CF5">
        <w:rPr>
          <w:rFonts w:ascii="Times New Roman" w:hAnsi="Times New Roman" w:cs="Times New Roman"/>
          <w:sz w:val="24"/>
          <w:szCs w:val="24"/>
        </w:rPr>
        <w:t>A nem pénzügyi gazdasági társaságban való tulajdoni részesedésünket a befektetéskori, bekerülési értéken értékeltük. Az ELTE 2020.12.31.-én 6 saját alapítású vagy részesedésű állami tulajdonú gazdasági társaságban volt tulajdonosi joggyakorló ös</w:t>
      </w:r>
      <w:r w:rsidR="003E6FBD">
        <w:rPr>
          <w:rFonts w:ascii="Times New Roman" w:hAnsi="Times New Roman" w:cs="Times New Roman"/>
          <w:sz w:val="24"/>
          <w:szCs w:val="24"/>
        </w:rPr>
        <w:t xml:space="preserve">szességében 227,7 mFt értékben. </w:t>
      </w:r>
      <w:r w:rsidRPr="00221CF5">
        <w:rPr>
          <w:rFonts w:ascii="Times New Roman" w:hAnsi="Times New Roman" w:cs="Times New Roman"/>
          <w:sz w:val="24"/>
          <w:szCs w:val="24"/>
        </w:rPr>
        <w:t>A tartós részesedéseink között a tárgyévben 55,0 mFt vagyonnövekedés következett be, az alábbiak szerint:</w:t>
      </w:r>
    </w:p>
    <w:p w:rsidR="00A73803" w:rsidRPr="00221CF5" w:rsidRDefault="00A73803" w:rsidP="00F03415">
      <w:pPr>
        <w:numPr>
          <w:ilvl w:val="0"/>
          <w:numId w:val="24"/>
        </w:numPr>
        <w:spacing w:after="0"/>
        <w:ind w:left="357" w:hanging="357"/>
        <w:jc w:val="both"/>
        <w:rPr>
          <w:rFonts w:ascii="Times New Roman" w:hAnsi="Times New Roman" w:cs="Times New Roman"/>
          <w:sz w:val="24"/>
          <w:szCs w:val="24"/>
        </w:rPr>
      </w:pPr>
      <w:r w:rsidRPr="00221CF5">
        <w:rPr>
          <w:rFonts w:ascii="Times New Roman" w:hAnsi="Times New Roman" w:cs="Times New Roman"/>
          <w:sz w:val="24"/>
          <w:szCs w:val="24"/>
        </w:rPr>
        <w:t>ELTE Eötvös K</w:t>
      </w:r>
      <w:r w:rsidR="00EC340B">
        <w:rPr>
          <w:rFonts w:ascii="Times New Roman" w:hAnsi="Times New Roman" w:cs="Times New Roman"/>
          <w:sz w:val="24"/>
          <w:szCs w:val="24"/>
        </w:rPr>
        <w:t>iadó Kft-nél ELTE tőkeemlésre 1</w:t>
      </w:r>
      <w:r w:rsidRPr="00221CF5">
        <w:rPr>
          <w:rFonts w:ascii="Times New Roman" w:hAnsi="Times New Roman" w:cs="Times New Roman"/>
          <w:sz w:val="24"/>
          <w:szCs w:val="24"/>
        </w:rPr>
        <w:t>mFt és tők</w:t>
      </w:r>
      <w:r w:rsidR="00EC340B">
        <w:rPr>
          <w:rFonts w:ascii="Times New Roman" w:hAnsi="Times New Roman" w:cs="Times New Roman"/>
          <w:sz w:val="24"/>
          <w:szCs w:val="24"/>
        </w:rPr>
        <w:t>etartalékba helyezésre 19 mFt</w:t>
      </w:r>
      <w:r w:rsidRPr="00221CF5">
        <w:rPr>
          <w:rFonts w:ascii="Times New Roman" w:hAnsi="Times New Roman" w:cs="Times New Roman"/>
          <w:sz w:val="24"/>
          <w:szCs w:val="24"/>
        </w:rPr>
        <w:t>,</w:t>
      </w:r>
    </w:p>
    <w:p w:rsidR="00A73803" w:rsidRPr="00221CF5" w:rsidRDefault="00A73803" w:rsidP="00F03415">
      <w:pPr>
        <w:numPr>
          <w:ilvl w:val="0"/>
          <w:numId w:val="24"/>
        </w:numPr>
        <w:spacing w:after="0"/>
        <w:ind w:left="357" w:hanging="357"/>
        <w:jc w:val="both"/>
        <w:rPr>
          <w:rFonts w:ascii="Times New Roman" w:hAnsi="Times New Roman" w:cs="Times New Roman"/>
          <w:sz w:val="24"/>
          <w:szCs w:val="24"/>
        </w:rPr>
      </w:pPr>
      <w:r w:rsidRPr="00221CF5">
        <w:rPr>
          <w:rFonts w:ascii="Times New Roman" w:hAnsi="Times New Roman" w:cs="Times New Roman"/>
          <w:sz w:val="24"/>
          <w:szCs w:val="24"/>
        </w:rPr>
        <w:t xml:space="preserve">ELTE Sport Sportszolgáltató Kft-nél </w:t>
      </w:r>
      <w:r w:rsidR="00EC340B">
        <w:rPr>
          <w:rFonts w:ascii="Times New Roman" w:hAnsi="Times New Roman" w:cs="Times New Roman"/>
          <w:sz w:val="24"/>
          <w:szCs w:val="24"/>
        </w:rPr>
        <w:t>tőkeemelésre 20,0 mFt,</w:t>
      </w:r>
    </w:p>
    <w:p w:rsidR="001C53F2" w:rsidRPr="00EC340B" w:rsidRDefault="00A73803" w:rsidP="00EC340B">
      <w:pPr>
        <w:numPr>
          <w:ilvl w:val="0"/>
          <w:numId w:val="24"/>
        </w:numPr>
        <w:spacing w:after="280"/>
        <w:ind w:left="357" w:hanging="357"/>
        <w:jc w:val="both"/>
        <w:rPr>
          <w:rFonts w:ascii="Times New Roman" w:hAnsi="Times New Roman" w:cs="Times New Roman"/>
          <w:sz w:val="24"/>
          <w:szCs w:val="24"/>
        </w:rPr>
      </w:pPr>
      <w:r w:rsidRPr="00221CF5">
        <w:rPr>
          <w:rFonts w:ascii="Times New Roman" w:hAnsi="Times New Roman" w:cs="Times New Roman"/>
          <w:sz w:val="24"/>
          <w:szCs w:val="24"/>
        </w:rPr>
        <w:t>ELTE Szolgál</w:t>
      </w:r>
      <w:r w:rsidR="00EC340B">
        <w:rPr>
          <w:rFonts w:ascii="Times New Roman" w:hAnsi="Times New Roman" w:cs="Times New Roman"/>
          <w:sz w:val="24"/>
          <w:szCs w:val="24"/>
        </w:rPr>
        <w:t>tató Kft-nél ELTE tőkeemlésre 1</w:t>
      </w:r>
      <w:r w:rsidRPr="00221CF5">
        <w:rPr>
          <w:rFonts w:ascii="Times New Roman" w:hAnsi="Times New Roman" w:cs="Times New Roman"/>
          <w:sz w:val="24"/>
          <w:szCs w:val="24"/>
        </w:rPr>
        <w:t>mFt és tőketartalékba helyezésre 14mFt értékben</w:t>
      </w:r>
      <w:r w:rsidR="003E6FBD">
        <w:rPr>
          <w:rFonts w:ascii="Times New Roman" w:hAnsi="Times New Roman" w:cs="Times New Roman"/>
          <w:sz w:val="24"/>
          <w:szCs w:val="24"/>
        </w:rPr>
        <w:t xml:space="preserve"> </w:t>
      </w:r>
      <w:r w:rsidR="00EC340B">
        <w:rPr>
          <w:rFonts w:ascii="Times New Roman" w:hAnsi="Times New Roman" w:cs="Times New Roman"/>
          <w:sz w:val="24"/>
          <w:szCs w:val="24"/>
        </w:rPr>
        <w:t>került sor;</w:t>
      </w:r>
    </w:p>
    <w:p w:rsidR="003D139F" w:rsidRDefault="00A73803" w:rsidP="003C16B5">
      <w:pPr>
        <w:spacing w:after="120"/>
        <w:rPr>
          <w:rFonts w:ascii="Times New Roman" w:hAnsi="Times New Roman" w:cs="Times New Roman"/>
          <w:b/>
          <w:sz w:val="24"/>
          <w:szCs w:val="24"/>
        </w:rPr>
      </w:pPr>
      <w:r w:rsidRPr="00221CF5">
        <w:rPr>
          <w:rFonts w:ascii="Times New Roman" w:hAnsi="Times New Roman" w:cs="Times New Roman"/>
          <w:b/>
          <w:sz w:val="24"/>
          <w:szCs w:val="24"/>
        </w:rPr>
        <w:t>II.</w:t>
      </w:r>
      <w:r>
        <w:rPr>
          <w:rFonts w:ascii="Times New Roman" w:hAnsi="Times New Roman" w:cs="Times New Roman"/>
          <w:b/>
          <w:sz w:val="24"/>
          <w:szCs w:val="24"/>
        </w:rPr>
        <w:t xml:space="preserve">10 </w:t>
      </w:r>
      <w:r w:rsidRPr="00221CF5">
        <w:rPr>
          <w:rFonts w:ascii="Times New Roman" w:hAnsi="Times New Roman" w:cs="Times New Roman"/>
          <w:b/>
          <w:sz w:val="24"/>
          <w:szCs w:val="24"/>
        </w:rPr>
        <w:t>Az előző évi elő</w:t>
      </w:r>
      <w:r w:rsidR="003D139F">
        <w:rPr>
          <w:rFonts w:ascii="Times New Roman" w:hAnsi="Times New Roman" w:cs="Times New Roman"/>
          <w:b/>
          <w:sz w:val="24"/>
          <w:szCs w:val="24"/>
        </w:rPr>
        <w:t>irányzat-maradvány felhasználása</w:t>
      </w:r>
    </w:p>
    <w:p w:rsidR="00A73803" w:rsidRDefault="00A73803" w:rsidP="00E473F9">
      <w:pPr>
        <w:tabs>
          <w:tab w:val="left" w:pos="284"/>
          <w:tab w:val="left" w:pos="567"/>
        </w:tabs>
        <w:spacing w:after="120"/>
        <w:rPr>
          <w:rFonts w:ascii="Times New Roman" w:hAnsi="Times New Roman" w:cs="Times New Roman"/>
          <w:b/>
          <w:sz w:val="24"/>
          <w:szCs w:val="24"/>
        </w:rPr>
      </w:pPr>
      <w:r w:rsidRPr="00221CF5">
        <w:rPr>
          <w:rFonts w:ascii="Times New Roman" w:hAnsi="Times New Roman" w:cs="Times New Roman"/>
          <w:b/>
          <w:sz w:val="24"/>
          <w:szCs w:val="24"/>
        </w:rPr>
        <w:t>2019</w:t>
      </w:r>
      <w:r w:rsidR="00F03415">
        <w:rPr>
          <w:rFonts w:ascii="Times New Roman" w:hAnsi="Times New Roman" w:cs="Times New Roman"/>
          <w:b/>
          <w:sz w:val="24"/>
          <w:szCs w:val="24"/>
        </w:rPr>
        <w:t>. évi előirányzat-maradvány felhasználása</w:t>
      </w:r>
      <w:r w:rsidR="0093548F">
        <w:rPr>
          <w:rFonts w:ascii="Times New Roman" w:hAnsi="Times New Roman" w:cs="Times New Roman"/>
          <w:b/>
          <w:sz w:val="24"/>
          <w:szCs w:val="24"/>
        </w:rPr>
        <w:t>:</w:t>
      </w:r>
    </w:p>
    <w:tbl>
      <w:tblPr>
        <w:tblStyle w:val="Rcsostblzat"/>
        <w:tblW w:w="7797" w:type="dxa"/>
        <w:tblInd w:w="675" w:type="dxa"/>
        <w:tblLook w:val="04A0" w:firstRow="1" w:lastRow="0" w:firstColumn="1" w:lastColumn="0" w:noHBand="0" w:noVBand="1"/>
      </w:tblPr>
      <w:tblGrid>
        <w:gridCol w:w="3931"/>
        <w:gridCol w:w="3866"/>
      </w:tblGrid>
      <w:tr w:rsidR="0093548F" w:rsidRPr="00855BF5" w:rsidTr="0093548F">
        <w:tc>
          <w:tcPr>
            <w:tcW w:w="3931" w:type="dxa"/>
            <w:vAlign w:val="bottom"/>
          </w:tcPr>
          <w:p w:rsidR="0093548F" w:rsidRPr="00855BF5" w:rsidRDefault="0093548F" w:rsidP="0093548F">
            <w:pPr>
              <w:tabs>
                <w:tab w:val="left" w:pos="284"/>
                <w:tab w:val="left" w:pos="567"/>
              </w:tabs>
              <w:jc w:val="center"/>
              <w:rPr>
                <w:rFonts w:ascii="Times New Roman" w:hAnsi="Times New Roman" w:cs="Times New Roman"/>
                <w:b/>
              </w:rPr>
            </w:pPr>
            <w:r w:rsidRPr="00855BF5">
              <w:rPr>
                <w:rFonts w:ascii="Times New Roman" w:hAnsi="Times New Roman" w:cs="Times New Roman"/>
                <w:b/>
              </w:rPr>
              <w:t>Jogcím</w:t>
            </w:r>
          </w:p>
        </w:tc>
        <w:tc>
          <w:tcPr>
            <w:tcW w:w="3866" w:type="dxa"/>
            <w:vAlign w:val="bottom"/>
          </w:tcPr>
          <w:p w:rsidR="0093548F" w:rsidRPr="00855BF5" w:rsidRDefault="0093548F" w:rsidP="0093548F">
            <w:pPr>
              <w:tabs>
                <w:tab w:val="left" w:pos="284"/>
                <w:tab w:val="left" w:pos="567"/>
              </w:tabs>
              <w:jc w:val="center"/>
              <w:rPr>
                <w:rFonts w:ascii="Times New Roman" w:eastAsia="Arial Unicode MS" w:hAnsi="Times New Roman" w:cs="Times New Roman"/>
                <w:b/>
              </w:rPr>
            </w:pPr>
            <w:r w:rsidRPr="00855BF5">
              <w:rPr>
                <w:rFonts w:ascii="Times New Roman" w:eastAsia="Arial Unicode MS" w:hAnsi="Times New Roman" w:cs="Times New Roman"/>
                <w:b/>
              </w:rPr>
              <w:t>Összeg (mFt)</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eastAsia="Arial Unicode MS" w:hAnsi="Times New Roman" w:cs="Times New Roman"/>
              </w:rPr>
            </w:pPr>
            <w:r w:rsidRPr="00855BF5">
              <w:rPr>
                <w:rFonts w:ascii="Times New Roman" w:hAnsi="Times New Roman" w:cs="Times New Roman"/>
              </w:rPr>
              <w:t>Személyi juttatások + járulékai</w:t>
            </w:r>
          </w:p>
        </w:tc>
        <w:tc>
          <w:tcPr>
            <w:tcW w:w="3866" w:type="dxa"/>
            <w:vAlign w:val="bottom"/>
          </w:tcPr>
          <w:p w:rsidR="0093548F" w:rsidRPr="00855BF5" w:rsidRDefault="0093548F" w:rsidP="0093548F">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7 610,3</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eastAsia="Arial Unicode MS" w:hAnsi="Times New Roman" w:cs="Times New Roman"/>
              </w:rPr>
            </w:pPr>
            <w:r w:rsidRPr="00855BF5">
              <w:rPr>
                <w:rFonts w:ascii="Times New Roman" w:hAnsi="Times New Roman" w:cs="Times New Roman"/>
              </w:rPr>
              <w:t>Hallgatói juttatások maradványa</w:t>
            </w:r>
          </w:p>
        </w:tc>
        <w:tc>
          <w:tcPr>
            <w:tcW w:w="3866" w:type="dxa"/>
            <w:vAlign w:val="center"/>
          </w:tcPr>
          <w:p w:rsidR="0093548F" w:rsidRPr="00855BF5" w:rsidRDefault="0093548F" w:rsidP="0093548F">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1 196,6</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eastAsia="Arial Unicode MS" w:hAnsi="Times New Roman" w:cs="Times New Roman"/>
              </w:rPr>
            </w:pPr>
            <w:r w:rsidRPr="00855BF5">
              <w:rPr>
                <w:rFonts w:ascii="Times New Roman" w:hAnsi="Times New Roman" w:cs="Times New Roman"/>
              </w:rPr>
              <w:t>Dologi kiadások maradványa</w:t>
            </w:r>
          </w:p>
        </w:tc>
        <w:tc>
          <w:tcPr>
            <w:tcW w:w="3866" w:type="dxa"/>
            <w:vAlign w:val="center"/>
          </w:tcPr>
          <w:p w:rsidR="0093548F" w:rsidRPr="00855BF5" w:rsidRDefault="0093548F" w:rsidP="0093548F">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5 367,5</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hAnsi="Times New Roman" w:cs="Times New Roman"/>
              </w:rPr>
            </w:pPr>
            <w:r w:rsidRPr="00855BF5">
              <w:rPr>
                <w:rFonts w:ascii="Times New Roman" w:hAnsi="Times New Roman" w:cs="Times New Roman"/>
              </w:rPr>
              <w:t>Pénzeszközátadás</w:t>
            </w:r>
          </w:p>
        </w:tc>
        <w:tc>
          <w:tcPr>
            <w:tcW w:w="3866" w:type="dxa"/>
            <w:vAlign w:val="bottom"/>
          </w:tcPr>
          <w:p w:rsidR="0093548F" w:rsidRPr="00855BF5" w:rsidRDefault="0093548F" w:rsidP="0093548F">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2 631,6</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eastAsia="Arial Unicode MS" w:hAnsi="Times New Roman" w:cs="Times New Roman"/>
              </w:rPr>
            </w:pPr>
            <w:r w:rsidRPr="00855BF5">
              <w:rPr>
                <w:rFonts w:ascii="Times New Roman" w:eastAsia="Arial Unicode MS" w:hAnsi="Times New Roman" w:cs="Times New Roman"/>
              </w:rPr>
              <w:t>Intézményi beruházás és felújítás</w:t>
            </w:r>
          </w:p>
        </w:tc>
        <w:tc>
          <w:tcPr>
            <w:tcW w:w="3866" w:type="dxa"/>
            <w:vAlign w:val="bottom"/>
          </w:tcPr>
          <w:p w:rsidR="0093548F" w:rsidRPr="00855BF5" w:rsidRDefault="0093548F" w:rsidP="0093548F">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2 376,3</w:t>
            </w:r>
          </w:p>
        </w:tc>
      </w:tr>
      <w:tr w:rsidR="0093548F" w:rsidRPr="00855BF5" w:rsidTr="0093548F">
        <w:tc>
          <w:tcPr>
            <w:tcW w:w="3931" w:type="dxa"/>
            <w:vAlign w:val="bottom"/>
          </w:tcPr>
          <w:p w:rsidR="0093548F" w:rsidRPr="00855BF5" w:rsidRDefault="0093548F" w:rsidP="0093548F">
            <w:pPr>
              <w:tabs>
                <w:tab w:val="left" w:pos="284"/>
                <w:tab w:val="left" w:pos="567"/>
              </w:tabs>
              <w:rPr>
                <w:rFonts w:ascii="Times New Roman" w:eastAsia="Arial Unicode MS" w:hAnsi="Times New Roman" w:cs="Times New Roman"/>
                <w:b/>
                <w:bCs/>
              </w:rPr>
            </w:pPr>
            <w:r w:rsidRPr="00855BF5">
              <w:rPr>
                <w:rFonts w:ascii="Times New Roman" w:hAnsi="Times New Roman" w:cs="Times New Roman"/>
                <w:b/>
                <w:bCs/>
              </w:rPr>
              <w:t>2019. évi előirányzat maradvány</w:t>
            </w:r>
          </w:p>
        </w:tc>
        <w:tc>
          <w:tcPr>
            <w:tcW w:w="3866" w:type="dxa"/>
            <w:vAlign w:val="bottom"/>
          </w:tcPr>
          <w:p w:rsidR="0093548F" w:rsidRPr="00855BF5" w:rsidRDefault="0093548F" w:rsidP="0093548F">
            <w:pPr>
              <w:tabs>
                <w:tab w:val="left" w:pos="284"/>
                <w:tab w:val="left" w:pos="567"/>
              </w:tabs>
              <w:jc w:val="right"/>
              <w:rPr>
                <w:rFonts w:ascii="Times New Roman" w:eastAsia="Arial Unicode MS" w:hAnsi="Times New Roman" w:cs="Times New Roman"/>
                <w:b/>
                <w:bCs/>
              </w:rPr>
            </w:pPr>
            <w:r w:rsidRPr="00855BF5">
              <w:rPr>
                <w:rFonts w:ascii="Times New Roman" w:eastAsia="Arial Unicode MS" w:hAnsi="Times New Roman" w:cs="Times New Roman"/>
                <w:b/>
                <w:bCs/>
              </w:rPr>
              <w:t>19 182,3</w:t>
            </w:r>
          </w:p>
        </w:tc>
      </w:tr>
    </w:tbl>
    <w:p w:rsidR="003D139F" w:rsidRDefault="003D139F" w:rsidP="00F03415">
      <w:pPr>
        <w:tabs>
          <w:tab w:val="left" w:pos="284"/>
          <w:tab w:val="left" w:pos="567"/>
        </w:tabs>
        <w:spacing w:after="0"/>
        <w:rPr>
          <w:rFonts w:ascii="Times New Roman" w:hAnsi="Times New Roman" w:cs="Times New Roman"/>
          <w:b/>
          <w:sz w:val="24"/>
          <w:szCs w:val="24"/>
        </w:rPr>
      </w:pPr>
    </w:p>
    <w:p w:rsidR="00A73803" w:rsidRDefault="00F03415" w:rsidP="003D139F">
      <w:pPr>
        <w:tabs>
          <w:tab w:val="left" w:pos="284"/>
          <w:tab w:val="left" w:pos="567"/>
        </w:tabs>
        <w:rPr>
          <w:rFonts w:ascii="Times New Roman" w:hAnsi="Times New Roman" w:cs="Times New Roman"/>
          <w:b/>
          <w:sz w:val="24"/>
          <w:szCs w:val="24"/>
        </w:rPr>
      </w:pPr>
      <w:r>
        <w:rPr>
          <w:rFonts w:ascii="Times New Roman" w:hAnsi="Times New Roman" w:cs="Times New Roman"/>
          <w:b/>
          <w:sz w:val="24"/>
          <w:szCs w:val="24"/>
        </w:rPr>
        <w:t xml:space="preserve">A 2020-ban </w:t>
      </w:r>
      <w:r w:rsidR="00A73803" w:rsidRPr="00221CF5">
        <w:rPr>
          <w:rFonts w:ascii="Times New Roman" w:hAnsi="Times New Roman" w:cs="Times New Roman"/>
          <w:b/>
          <w:sz w:val="24"/>
          <w:szCs w:val="24"/>
        </w:rPr>
        <w:t>keletkezett előirányzat maradvány összetétele:</w:t>
      </w:r>
    </w:p>
    <w:tbl>
      <w:tblPr>
        <w:tblStyle w:val="Rcsostblzat"/>
        <w:tblW w:w="7797" w:type="dxa"/>
        <w:tblInd w:w="675" w:type="dxa"/>
        <w:tblLook w:val="04A0" w:firstRow="1" w:lastRow="0" w:firstColumn="1" w:lastColumn="0" w:noHBand="0" w:noVBand="1"/>
      </w:tblPr>
      <w:tblGrid>
        <w:gridCol w:w="3931"/>
        <w:gridCol w:w="3866"/>
      </w:tblGrid>
      <w:tr w:rsidR="0093548F" w:rsidRPr="00855BF5" w:rsidTr="006901DE">
        <w:tc>
          <w:tcPr>
            <w:tcW w:w="3931" w:type="dxa"/>
            <w:vAlign w:val="bottom"/>
          </w:tcPr>
          <w:p w:rsidR="0093548F" w:rsidRPr="00855BF5" w:rsidRDefault="0093548F" w:rsidP="006901DE">
            <w:pPr>
              <w:tabs>
                <w:tab w:val="left" w:pos="284"/>
                <w:tab w:val="left" w:pos="567"/>
              </w:tabs>
              <w:jc w:val="center"/>
              <w:rPr>
                <w:rFonts w:ascii="Times New Roman" w:hAnsi="Times New Roman" w:cs="Times New Roman"/>
                <w:b/>
              </w:rPr>
            </w:pPr>
            <w:r w:rsidRPr="00855BF5">
              <w:rPr>
                <w:rFonts w:ascii="Times New Roman" w:hAnsi="Times New Roman" w:cs="Times New Roman"/>
                <w:b/>
              </w:rPr>
              <w:t>Jogcím</w:t>
            </w:r>
          </w:p>
        </w:tc>
        <w:tc>
          <w:tcPr>
            <w:tcW w:w="3866" w:type="dxa"/>
            <w:vAlign w:val="bottom"/>
          </w:tcPr>
          <w:p w:rsidR="0093548F" w:rsidRPr="00855BF5" w:rsidRDefault="0093548F" w:rsidP="006901DE">
            <w:pPr>
              <w:tabs>
                <w:tab w:val="left" w:pos="284"/>
                <w:tab w:val="left" w:pos="567"/>
              </w:tabs>
              <w:jc w:val="center"/>
              <w:rPr>
                <w:rFonts w:ascii="Times New Roman" w:eastAsia="Arial Unicode MS" w:hAnsi="Times New Roman" w:cs="Times New Roman"/>
                <w:b/>
              </w:rPr>
            </w:pPr>
            <w:r w:rsidRPr="00855BF5">
              <w:rPr>
                <w:rFonts w:ascii="Times New Roman" w:eastAsia="Arial Unicode MS" w:hAnsi="Times New Roman" w:cs="Times New Roman"/>
                <w:b/>
              </w:rPr>
              <w:t>Összeg (mFt)</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eastAsia="Arial Unicode MS" w:hAnsi="Times New Roman" w:cs="Times New Roman"/>
              </w:rPr>
            </w:pPr>
            <w:r w:rsidRPr="00855BF5">
              <w:rPr>
                <w:rFonts w:ascii="Times New Roman" w:hAnsi="Times New Roman" w:cs="Times New Roman"/>
              </w:rPr>
              <w:t>Személyi juttatások + járulékai</w:t>
            </w:r>
          </w:p>
        </w:tc>
        <w:tc>
          <w:tcPr>
            <w:tcW w:w="3866" w:type="dxa"/>
            <w:vAlign w:val="bottom"/>
          </w:tcPr>
          <w:p w:rsidR="0093548F" w:rsidRPr="00855BF5" w:rsidRDefault="0093548F" w:rsidP="006901DE">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6 924,0</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eastAsia="Arial Unicode MS" w:hAnsi="Times New Roman" w:cs="Times New Roman"/>
              </w:rPr>
            </w:pPr>
            <w:r w:rsidRPr="00855BF5">
              <w:rPr>
                <w:rFonts w:ascii="Times New Roman" w:hAnsi="Times New Roman" w:cs="Times New Roman"/>
              </w:rPr>
              <w:t>Hallgatói juttatások maradványa</w:t>
            </w:r>
          </w:p>
        </w:tc>
        <w:tc>
          <w:tcPr>
            <w:tcW w:w="3866" w:type="dxa"/>
            <w:vAlign w:val="center"/>
          </w:tcPr>
          <w:p w:rsidR="0093548F" w:rsidRPr="00855BF5" w:rsidRDefault="0093548F" w:rsidP="006901DE">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2 473,0</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eastAsia="Arial Unicode MS" w:hAnsi="Times New Roman" w:cs="Times New Roman"/>
              </w:rPr>
            </w:pPr>
            <w:r w:rsidRPr="00855BF5">
              <w:rPr>
                <w:rFonts w:ascii="Times New Roman" w:hAnsi="Times New Roman" w:cs="Times New Roman"/>
              </w:rPr>
              <w:t>Dologi kiadások maradványa</w:t>
            </w:r>
          </w:p>
        </w:tc>
        <w:tc>
          <w:tcPr>
            <w:tcW w:w="3866" w:type="dxa"/>
            <w:vAlign w:val="center"/>
          </w:tcPr>
          <w:p w:rsidR="0093548F" w:rsidRPr="00855BF5" w:rsidRDefault="0093548F" w:rsidP="006901DE">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5 944,6</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hAnsi="Times New Roman" w:cs="Times New Roman"/>
              </w:rPr>
            </w:pPr>
            <w:r w:rsidRPr="00855BF5">
              <w:rPr>
                <w:rFonts w:ascii="Times New Roman" w:hAnsi="Times New Roman" w:cs="Times New Roman"/>
              </w:rPr>
              <w:t>Pénzeszközátadás</w:t>
            </w:r>
          </w:p>
        </w:tc>
        <w:tc>
          <w:tcPr>
            <w:tcW w:w="3866" w:type="dxa"/>
            <w:vAlign w:val="bottom"/>
          </w:tcPr>
          <w:p w:rsidR="0093548F" w:rsidRPr="00855BF5" w:rsidRDefault="0093548F" w:rsidP="006901DE">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52,1</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eastAsia="Arial Unicode MS" w:hAnsi="Times New Roman" w:cs="Times New Roman"/>
              </w:rPr>
            </w:pPr>
            <w:r w:rsidRPr="00855BF5">
              <w:rPr>
                <w:rFonts w:ascii="Times New Roman" w:eastAsia="Arial Unicode MS" w:hAnsi="Times New Roman" w:cs="Times New Roman"/>
              </w:rPr>
              <w:t>Intézményi beruházás és felújítás</w:t>
            </w:r>
          </w:p>
        </w:tc>
        <w:tc>
          <w:tcPr>
            <w:tcW w:w="3866" w:type="dxa"/>
            <w:vAlign w:val="bottom"/>
          </w:tcPr>
          <w:p w:rsidR="0093548F" w:rsidRPr="00855BF5" w:rsidRDefault="0093548F" w:rsidP="006901DE">
            <w:pPr>
              <w:tabs>
                <w:tab w:val="left" w:pos="284"/>
                <w:tab w:val="left" w:pos="567"/>
              </w:tabs>
              <w:jc w:val="right"/>
              <w:rPr>
                <w:rFonts w:ascii="Times New Roman" w:eastAsia="Arial Unicode MS" w:hAnsi="Times New Roman" w:cs="Times New Roman"/>
              </w:rPr>
            </w:pPr>
            <w:r w:rsidRPr="00855BF5">
              <w:rPr>
                <w:rFonts w:ascii="Times New Roman" w:eastAsia="Arial Unicode MS" w:hAnsi="Times New Roman" w:cs="Times New Roman"/>
              </w:rPr>
              <w:t>3 597,5</w:t>
            </w:r>
          </w:p>
        </w:tc>
      </w:tr>
      <w:tr w:rsidR="0093548F" w:rsidRPr="00855BF5" w:rsidTr="006901DE">
        <w:tc>
          <w:tcPr>
            <w:tcW w:w="3931" w:type="dxa"/>
            <w:vAlign w:val="bottom"/>
          </w:tcPr>
          <w:p w:rsidR="0093548F" w:rsidRPr="00855BF5" w:rsidRDefault="0093548F" w:rsidP="006901DE">
            <w:pPr>
              <w:tabs>
                <w:tab w:val="left" w:pos="284"/>
                <w:tab w:val="left" w:pos="567"/>
              </w:tabs>
              <w:rPr>
                <w:rFonts w:ascii="Times New Roman" w:eastAsia="Arial Unicode MS" w:hAnsi="Times New Roman" w:cs="Times New Roman"/>
                <w:b/>
                <w:bCs/>
              </w:rPr>
            </w:pPr>
            <w:r w:rsidRPr="00855BF5">
              <w:rPr>
                <w:rFonts w:ascii="Times New Roman" w:hAnsi="Times New Roman" w:cs="Times New Roman"/>
                <w:b/>
                <w:bCs/>
              </w:rPr>
              <w:t>2020. évi előirányzat maradvány</w:t>
            </w:r>
          </w:p>
        </w:tc>
        <w:tc>
          <w:tcPr>
            <w:tcW w:w="3866" w:type="dxa"/>
            <w:vAlign w:val="bottom"/>
          </w:tcPr>
          <w:p w:rsidR="0093548F" w:rsidRPr="00855BF5" w:rsidRDefault="0093548F" w:rsidP="006901DE">
            <w:pPr>
              <w:tabs>
                <w:tab w:val="left" w:pos="284"/>
                <w:tab w:val="left" w:pos="567"/>
              </w:tabs>
              <w:jc w:val="right"/>
              <w:rPr>
                <w:rFonts w:ascii="Times New Roman" w:eastAsia="Arial Unicode MS" w:hAnsi="Times New Roman" w:cs="Times New Roman"/>
                <w:b/>
                <w:bCs/>
              </w:rPr>
            </w:pPr>
            <w:r w:rsidRPr="00855BF5">
              <w:rPr>
                <w:rFonts w:ascii="Times New Roman" w:eastAsia="Arial Unicode MS" w:hAnsi="Times New Roman" w:cs="Times New Roman"/>
                <w:b/>
                <w:bCs/>
              </w:rPr>
              <w:t>18 991,2</w:t>
            </w:r>
          </w:p>
        </w:tc>
      </w:tr>
    </w:tbl>
    <w:p w:rsidR="003313BE" w:rsidRDefault="003313BE" w:rsidP="00F03415">
      <w:pPr>
        <w:spacing w:after="0"/>
        <w:jc w:val="both"/>
        <w:rPr>
          <w:rFonts w:ascii="Times New Roman" w:hAnsi="Times New Roman" w:cs="Times New Roman"/>
          <w:sz w:val="24"/>
          <w:szCs w:val="24"/>
        </w:rPr>
      </w:pPr>
    </w:p>
    <w:p w:rsidR="001C53F2" w:rsidRPr="001C53F2" w:rsidRDefault="00A73803" w:rsidP="004B7ECA">
      <w:pPr>
        <w:spacing w:after="280"/>
        <w:jc w:val="both"/>
        <w:rPr>
          <w:rFonts w:ascii="Times New Roman" w:hAnsi="Times New Roman" w:cs="Times New Roman"/>
          <w:sz w:val="24"/>
          <w:szCs w:val="24"/>
        </w:rPr>
      </w:pPr>
      <w:r w:rsidRPr="00221CF5">
        <w:rPr>
          <w:rFonts w:ascii="Times New Roman" w:hAnsi="Times New Roman" w:cs="Times New Roman"/>
          <w:sz w:val="24"/>
          <w:szCs w:val="24"/>
        </w:rPr>
        <w:t>A 2020. évi maradványt feladatonkénti részletezésben a beszámoló mellékleteként beadott 9. sz. táblán mutattuk be. A maradvány teljes összege kö</w:t>
      </w:r>
      <w:r w:rsidR="0093548F">
        <w:rPr>
          <w:rFonts w:ascii="Times New Roman" w:hAnsi="Times New Roman" w:cs="Times New Roman"/>
          <w:sz w:val="24"/>
          <w:szCs w:val="24"/>
        </w:rPr>
        <w:t>telezettségvállalással terhelt.</w:t>
      </w:r>
    </w:p>
    <w:p w:rsidR="0093548F" w:rsidRDefault="00A73803" w:rsidP="00A73803">
      <w:pPr>
        <w:rPr>
          <w:rFonts w:ascii="Times New Roman" w:hAnsi="Times New Roman" w:cs="Times New Roman"/>
          <w:b/>
          <w:sz w:val="24"/>
          <w:szCs w:val="24"/>
        </w:rPr>
      </w:pPr>
      <w:r w:rsidRPr="00221CF5">
        <w:rPr>
          <w:rFonts w:ascii="Times New Roman" w:hAnsi="Times New Roman" w:cs="Times New Roman"/>
          <w:b/>
          <w:sz w:val="24"/>
          <w:szCs w:val="24"/>
        </w:rPr>
        <w:t>II.1</w:t>
      </w:r>
      <w:r>
        <w:rPr>
          <w:rFonts w:ascii="Times New Roman" w:hAnsi="Times New Roman" w:cs="Times New Roman"/>
          <w:b/>
          <w:sz w:val="24"/>
          <w:szCs w:val="24"/>
        </w:rPr>
        <w:t>1</w:t>
      </w:r>
      <w:r w:rsidR="0093548F">
        <w:rPr>
          <w:rFonts w:ascii="Times New Roman" w:hAnsi="Times New Roman" w:cs="Times New Roman"/>
          <w:b/>
          <w:sz w:val="24"/>
          <w:szCs w:val="24"/>
        </w:rPr>
        <w:t xml:space="preserve"> A saját tőke értékelése </w:t>
      </w:r>
    </w:p>
    <w:p w:rsidR="00A73803" w:rsidRPr="003E6FBD" w:rsidRDefault="00A73803" w:rsidP="004C4095">
      <w:pPr>
        <w:spacing w:after="120"/>
        <w:jc w:val="both"/>
        <w:rPr>
          <w:rFonts w:ascii="Times New Roman" w:hAnsi="Times New Roman" w:cs="Times New Roman"/>
          <w:b/>
          <w:sz w:val="24"/>
          <w:szCs w:val="24"/>
        </w:rPr>
      </w:pPr>
      <w:r w:rsidRPr="00221CF5">
        <w:rPr>
          <w:rFonts w:ascii="Times New Roman" w:hAnsi="Times New Roman" w:cs="Times New Roman"/>
          <w:sz w:val="24"/>
          <w:szCs w:val="24"/>
        </w:rPr>
        <w:t>A könyvviteli mérleg szerinti tőkeváltozásunk meghatározásakor figyelembe vettünk minden olyan csökkenést és növekedést, ami az eszközeinket és forrásainkat befolyásolta és a mérlegkészítés időpontjában ismert volt.</w:t>
      </w:r>
      <w:r w:rsidR="003E6FBD">
        <w:rPr>
          <w:rFonts w:ascii="Times New Roman" w:hAnsi="Times New Roman" w:cs="Times New Roman"/>
          <w:b/>
          <w:sz w:val="24"/>
          <w:szCs w:val="24"/>
        </w:rPr>
        <w:t xml:space="preserve"> </w:t>
      </w:r>
      <w:r w:rsidRPr="00221CF5">
        <w:rPr>
          <w:rFonts w:ascii="Times New Roman" w:hAnsi="Times New Roman" w:cs="Times New Roman"/>
          <w:sz w:val="24"/>
          <w:szCs w:val="24"/>
        </w:rPr>
        <w:t xml:space="preserve">A saját tőkét könyv szerinti értéken értékeltük és mutattuk ki a főkönyvi könyvelésben. </w:t>
      </w:r>
      <w:r w:rsidR="003E6FBD">
        <w:rPr>
          <w:rFonts w:ascii="Times New Roman" w:hAnsi="Times New Roman" w:cs="Times New Roman"/>
          <w:b/>
          <w:sz w:val="24"/>
          <w:szCs w:val="24"/>
        </w:rPr>
        <w:t xml:space="preserve"> </w:t>
      </w:r>
      <w:r w:rsidRPr="00221CF5">
        <w:rPr>
          <w:rFonts w:ascii="Times New Roman" w:hAnsi="Times New Roman" w:cs="Times New Roman"/>
          <w:sz w:val="24"/>
          <w:szCs w:val="24"/>
        </w:rPr>
        <w:t xml:space="preserve">Az Egyetem </w:t>
      </w:r>
      <w:r w:rsidRPr="00666376">
        <w:rPr>
          <w:rFonts w:ascii="Times New Roman" w:hAnsi="Times New Roman" w:cs="Times New Roman"/>
          <w:b/>
          <w:sz w:val="24"/>
          <w:szCs w:val="24"/>
        </w:rPr>
        <w:t>saját tőkéje</w:t>
      </w:r>
      <w:r w:rsidRPr="00221CF5">
        <w:rPr>
          <w:rFonts w:ascii="Times New Roman" w:hAnsi="Times New Roman" w:cs="Times New Roman"/>
          <w:sz w:val="24"/>
          <w:szCs w:val="24"/>
        </w:rPr>
        <w:t xml:space="preserve"> </w:t>
      </w:r>
      <w:r w:rsidRPr="00666376">
        <w:rPr>
          <w:rFonts w:ascii="Times New Roman" w:hAnsi="Times New Roman" w:cs="Times New Roman"/>
          <w:b/>
          <w:sz w:val="24"/>
          <w:szCs w:val="24"/>
        </w:rPr>
        <w:t>összességében 1 862,3 mFt-tal csökkent</w:t>
      </w:r>
      <w:r w:rsidRPr="00221CF5">
        <w:rPr>
          <w:rFonts w:ascii="Times New Roman" w:hAnsi="Times New Roman" w:cs="Times New Roman"/>
          <w:sz w:val="24"/>
          <w:szCs w:val="24"/>
        </w:rPr>
        <w:t xml:space="preserve"> a 2020. évben.</w:t>
      </w:r>
    </w:p>
    <w:p w:rsidR="00A73803" w:rsidRPr="00221CF5" w:rsidRDefault="00A73803" w:rsidP="00683738">
      <w:pPr>
        <w:spacing w:after="0"/>
        <w:rPr>
          <w:rFonts w:ascii="Times New Roman" w:hAnsi="Times New Roman" w:cs="Times New Roman"/>
          <w:sz w:val="24"/>
          <w:szCs w:val="24"/>
        </w:rPr>
      </w:pPr>
      <w:r w:rsidRPr="00221CF5">
        <w:rPr>
          <w:rFonts w:ascii="Times New Roman" w:hAnsi="Times New Roman" w:cs="Times New Roman"/>
          <w:sz w:val="24"/>
          <w:szCs w:val="24"/>
        </w:rPr>
        <w:t xml:space="preserve">A </w:t>
      </w:r>
      <w:r w:rsidRPr="00683738">
        <w:rPr>
          <w:rFonts w:ascii="Times New Roman" w:hAnsi="Times New Roman" w:cs="Times New Roman"/>
          <w:b/>
          <w:sz w:val="24"/>
          <w:szCs w:val="24"/>
        </w:rPr>
        <w:t>nemzeti vagyon 1 103,1 mFt-tal csökkent</w:t>
      </w:r>
      <w:r w:rsidRPr="00221CF5">
        <w:rPr>
          <w:rFonts w:ascii="Times New Roman" w:hAnsi="Times New Roman" w:cs="Times New Roman"/>
          <w:sz w:val="24"/>
          <w:szCs w:val="24"/>
        </w:rPr>
        <w:t xml:space="preserve"> az alábbi tényezők miatt:</w:t>
      </w:r>
    </w:p>
    <w:p w:rsidR="00A73803" w:rsidRPr="00221CF5" w:rsidRDefault="00A73803" w:rsidP="0093548F">
      <w:pPr>
        <w:numPr>
          <w:ilvl w:val="0"/>
          <w:numId w:val="40"/>
        </w:numPr>
        <w:spacing w:after="0"/>
        <w:ind w:left="357" w:hanging="357"/>
        <w:rPr>
          <w:rFonts w:ascii="Times New Roman" w:hAnsi="Times New Roman" w:cs="Times New Roman"/>
          <w:sz w:val="24"/>
          <w:szCs w:val="24"/>
        </w:rPr>
      </w:pPr>
      <w:r w:rsidRPr="00221CF5">
        <w:rPr>
          <w:rFonts w:ascii="Times New Roman" w:hAnsi="Times New Roman" w:cs="Times New Roman"/>
          <w:sz w:val="24"/>
          <w:szCs w:val="24"/>
        </w:rPr>
        <w:t>MNV Zrt-nek átadás Kunigunda Kollégium BÜI általi felújításra hrsz.: 18777. (Bruttó érték: 886,1 mFt, Nettó érték: 557,9 mFt.),</w:t>
      </w:r>
    </w:p>
    <w:p w:rsidR="00A73803" w:rsidRPr="00221CF5" w:rsidRDefault="00A73803" w:rsidP="0093548F">
      <w:pPr>
        <w:numPr>
          <w:ilvl w:val="0"/>
          <w:numId w:val="40"/>
        </w:numPr>
        <w:spacing w:after="0"/>
        <w:ind w:left="357" w:hanging="357"/>
        <w:rPr>
          <w:rFonts w:ascii="Times New Roman" w:hAnsi="Times New Roman" w:cs="Times New Roman"/>
          <w:sz w:val="24"/>
          <w:szCs w:val="24"/>
        </w:rPr>
      </w:pPr>
      <w:r w:rsidRPr="00221CF5">
        <w:rPr>
          <w:rFonts w:ascii="Times New Roman" w:hAnsi="Times New Roman" w:cs="Times New Roman"/>
          <w:sz w:val="24"/>
          <w:szCs w:val="24"/>
        </w:rPr>
        <w:t>MNV Zrt-nek átadás Visegrád üdülő ingatlan (Hrsz.: 298. ) MNV Zrt. megállapodás 2020.08.12. (Bruttó érték: 27,2 mFt - Nettó érték: 11,7 mFt.),</w:t>
      </w:r>
    </w:p>
    <w:p w:rsidR="00683738" w:rsidRPr="004C4095" w:rsidRDefault="00A73803" w:rsidP="004C4095">
      <w:pPr>
        <w:numPr>
          <w:ilvl w:val="0"/>
          <w:numId w:val="40"/>
        </w:numPr>
        <w:spacing w:after="120"/>
        <w:ind w:left="357" w:hanging="357"/>
        <w:rPr>
          <w:rFonts w:ascii="Times New Roman" w:hAnsi="Times New Roman" w:cs="Times New Roman"/>
          <w:sz w:val="24"/>
          <w:szCs w:val="24"/>
        </w:rPr>
      </w:pPr>
      <w:r w:rsidRPr="00221CF5">
        <w:rPr>
          <w:rFonts w:ascii="Times New Roman" w:hAnsi="Times New Roman" w:cs="Times New Roman"/>
          <w:sz w:val="24"/>
          <w:szCs w:val="24"/>
        </w:rPr>
        <w:t>MNV Zrt-nek átadás elhelyezési célú ingatlanok 2020,07.31-én Budapest, Szerb utca 21., 23., iroda ingatlanok, továbbá 2020.12.31.-én Balatonkenese és Balatonfüred üdülő ingatlanok Hrsz. : 24040, 24041, 4759/1, 3928/I/20. MNV Zrt. megállapodás (Bruttó érték: 774,6 mFt - Nettó érték: 533,5 mFt.).</w:t>
      </w:r>
    </w:p>
    <w:p w:rsidR="00A73803" w:rsidRPr="00221CF5" w:rsidRDefault="00A73803" w:rsidP="00683738">
      <w:pPr>
        <w:spacing w:after="0"/>
        <w:rPr>
          <w:rFonts w:ascii="Times New Roman" w:hAnsi="Times New Roman" w:cs="Times New Roman"/>
          <w:sz w:val="24"/>
          <w:szCs w:val="24"/>
        </w:rPr>
      </w:pPr>
      <w:r w:rsidRPr="00221CF5">
        <w:rPr>
          <w:rFonts w:ascii="Times New Roman" w:hAnsi="Times New Roman" w:cs="Times New Roman"/>
          <w:sz w:val="24"/>
          <w:szCs w:val="24"/>
        </w:rPr>
        <w:t xml:space="preserve">A </w:t>
      </w:r>
      <w:r w:rsidRPr="00683738">
        <w:rPr>
          <w:rFonts w:ascii="Times New Roman" w:hAnsi="Times New Roman" w:cs="Times New Roman"/>
          <w:b/>
          <w:sz w:val="24"/>
          <w:szCs w:val="24"/>
        </w:rPr>
        <w:t>saját tőkét csökkentő</w:t>
      </w:r>
      <w:r w:rsidRPr="00221CF5">
        <w:rPr>
          <w:rFonts w:ascii="Times New Roman" w:hAnsi="Times New Roman" w:cs="Times New Roman"/>
          <w:sz w:val="24"/>
          <w:szCs w:val="24"/>
        </w:rPr>
        <w:t xml:space="preserve"> további tényező:</w:t>
      </w:r>
    </w:p>
    <w:p w:rsidR="00A73803" w:rsidRPr="00221CF5" w:rsidRDefault="00A73803" w:rsidP="004C4095">
      <w:pPr>
        <w:numPr>
          <w:ilvl w:val="0"/>
          <w:numId w:val="26"/>
        </w:numPr>
        <w:ind w:left="357" w:hanging="357"/>
        <w:rPr>
          <w:rFonts w:ascii="Times New Roman" w:hAnsi="Times New Roman" w:cs="Times New Roman"/>
          <w:sz w:val="24"/>
          <w:szCs w:val="24"/>
        </w:rPr>
      </w:pPr>
      <w:r w:rsidRPr="00221CF5">
        <w:rPr>
          <w:rFonts w:ascii="Times New Roman" w:hAnsi="Times New Roman" w:cs="Times New Roman"/>
          <w:sz w:val="24"/>
          <w:szCs w:val="24"/>
        </w:rPr>
        <w:t>a 2020. évi mérleg szer</w:t>
      </w:r>
      <w:r w:rsidR="00666376">
        <w:rPr>
          <w:rFonts w:ascii="Times New Roman" w:hAnsi="Times New Roman" w:cs="Times New Roman"/>
          <w:sz w:val="24"/>
          <w:szCs w:val="24"/>
        </w:rPr>
        <w:t>inti eredmény, melynek összege -</w:t>
      </w:r>
      <w:r w:rsidRPr="00221CF5">
        <w:rPr>
          <w:rFonts w:ascii="Times New Roman" w:hAnsi="Times New Roman" w:cs="Times New Roman"/>
          <w:sz w:val="24"/>
          <w:szCs w:val="24"/>
        </w:rPr>
        <w:t>759,2 mFt.</w:t>
      </w:r>
    </w:p>
    <w:p w:rsidR="004C4095" w:rsidRPr="008358AE" w:rsidRDefault="00A73803" w:rsidP="004C4095">
      <w:pPr>
        <w:spacing w:after="240"/>
        <w:jc w:val="both"/>
        <w:rPr>
          <w:rFonts w:ascii="Times New Roman" w:hAnsi="Times New Roman" w:cs="Times New Roman"/>
          <w:b/>
          <w:sz w:val="24"/>
          <w:szCs w:val="24"/>
        </w:rPr>
      </w:pPr>
      <w:r w:rsidRPr="008358AE">
        <w:rPr>
          <w:rFonts w:ascii="Times New Roman" w:hAnsi="Times New Roman" w:cs="Times New Roman"/>
          <w:b/>
          <w:sz w:val="24"/>
          <w:szCs w:val="24"/>
        </w:rPr>
        <w:t>Az ELTE 2020.12.31.-i mérleg főösszege 71 154,0 mFt, mely összességében 1 107,7 mFt-os csökkenést mutat, melynek legfőbb oka a nemzeti vagyonba tartozó befektetett és forgóe</w:t>
      </w:r>
      <w:r w:rsidR="008358AE" w:rsidRPr="008358AE">
        <w:rPr>
          <w:rFonts w:ascii="Times New Roman" w:hAnsi="Times New Roman" w:cs="Times New Roman"/>
          <w:b/>
          <w:sz w:val="24"/>
          <w:szCs w:val="24"/>
        </w:rPr>
        <w:t xml:space="preserve">szközök csökkenése </w:t>
      </w:r>
      <w:r w:rsidRPr="008358AE">
        <w:rPr>
          <w:rFonts w:ascii="Times New Roman" w:hAnsi="Times New Roman" w:cs="Times New Roman"/>
          <w:b/>
          <w:sz w:val="24"/>
          <w:szCs w:val="24"/>
        </w:rPr>
        <w:t>volt.</w:t>
      </w:r>
    </w:p>
    <w:p w:rsidR="00A73803" w:rsidRPr="00221CF5" w:rsidRDefault="00A73803" w:rsidP="00A73803">
      <w:pPr>
        <w:jc w:val="both"/>
        <w:rPr>
          <w:rFonts w:ascii="Times New Roman" w:hAnsi="Times New Roman" w:cs="Times New Roman"/>
          <w:sz w:val="24"/>
          <w:szCs w:val="24"/>
        </w:rPr>
      </w:pPr>
      <w:r w:rsidRPr="00221CF5">
        <w:rPr>
          <w:rFonts w:ascii="Times New Roman" w:hAnsi="Times New Roman" w:cs="Times New Roman"/>
          <w:sz w:val="24"/>
          <w:szCs w:val="24"/>
        </w:rPr>
        <w:t>Budapest, 2021. február 28.</w:t>
      </w:r>
    </w:p>
    <w:p w:rsidR="004C4095" w:rsidRDefault="004C4095" w:rsidP="00A73803">
      <w:pPr>
        <w:jc w:val="both"/>
        <w:rPr>
          <w:rFonts w:ascii="Times New Roman" w:hAnsi="Times New Roman" w:cs="Times New Roman"/>
          <w:sz w:val="24"/>
          <w:szCs w:val="24"/>
        </w:rPr>
      </w:pPr>
    </w:p>
    <w:p w:rsidR="0093548F" w:rsidRPr="00221CF5" w:rsidRDefault="0093548F" w:rsidP="00A73803">
      <w:pPr>
        <w:jc w:val="both"/>
        <w:rPr>
          <w:rFonts w:ascii="Times New Roman" w:hAnsi="Times New Roman" w:cs="Times New Roman"/>
          <w:sz w:val="24"/>
          <w:szCs w:val="24"/>
        </w:rPr>
      </w:pPr>
    </w:p>
    <w:p w:rsidR="00A73803" w:rsidRDefault="00A73803" w:rsidP="00A73803">
      <w:pPr>
        <w:spacing w:after="0" w:line="240" w:lineRule="auto"/>
        <w:jc w:val="both"/>
        <w:rPr>
          <w:rFonts w:ascii="Times New Roman" w:hAnsi="Times New Roman" w:cs="Times New Roman"/>
          <w:sz w:val="24"/>
          <w:szCs w:val="24"/>
        </w:rPr>
      </w:pPr>
      <w:r w:rsidRPr="00221CF5">
        <w:rPr>
          <w:rFonts w:ascii="Times New Roman" w:hAnsi="Times New Roman" w:cs="Times New Roman"/>
          <w:sz w:val="24"/>
          <w:szCs w:val="24"/>
        </w:rPr>
        <w:t xml:space="preserve">               </w:t>
      </w:r>
      <w:r>
        <w:rPr>
          <w:rFonts w:ascii="Times New Roman" w:hAnsi="Times New Roman" w:cs="Times New Roman"/>
          <w:sz w:val="24"/>
          <w:szCs w:val="24"/>
        </w:rPr>
        <w:tab/>
      </w:r>
      <w:r w:rsidRPr="00221CF5">
        <w:rPr>
          <w:rFonts w:ascii="Times New Roman" w:hAnsi="Times New Roman" w:cs="Times New Roman"/>
          <w:sz w:val="24"/>
          <w:szCs w:val="24"/>
        </w:rPr>
        <w:t xml:space="preserve"> Dr. Borhy László   </w:t>
      </w:r>
      <w:r w:rsidRPr="00221CF5">
        <w:rPr>
          <w:rFonts w:ascii="Times New Roman" w:hAnsi="Times New Roman" w:cs="Times New Roman"/>
          <w:sz w:val="24"/>
          <w:szCs w:val="24"/>
        </w:rPr>
        <w:tab/>
      </w:r>
      <w:r w:rsidRPr="00221CF5">
        <w:rPr>
          <w:rFonts w:ascii="Times New Roman" w:hAnsi="Times New Roman" w:cs="Times New Roman"/>
          <w:sz w:val="24"/>
          <w:szCs w:val="24"/>
        </w:rPr>
        <w:tab/>
      </w:r>
      <w:r w:rsidRPr="00221CF5">
        <w:rPr>
          <w:rFonts w:ascii="Times New Roman" w:hAnsi="Times New Roman" w:cs="Times New Roman"/>
          <w:sz w:val="24"/>
          <w:szCs w:val="24"/>
        </w:rPr>
        <w:tab/>
      </w:r>
      <w:r w:rsidRPr="00221CF5">
        <w:rPr>
          <w:rFonts w:ascii="Times New Roman" w:hAnsi="Times New Roman" w:cs="Times New Roman"/>
          <w:sz w:val="24"/>
          <w:szCs w:val="24"/>
        </w:rPr>
        <w:tab/>
      </w:r>
      <w:r>
        <w:rPr>
          <w:rFonts w:ascii="Times New Roman" w:hAnsi="Times New Roman" w:cs="Times New Roman"/>
          <w:sz w:val="24"/>
          <w:szCs w:val="24"/>
        </w:rPr>
        <w:tab/>
      </w:r>
      <w:r w:rsidRPr="00221CF5">
        <w:rPr>
          <w:rFonts w:ascii="Times New Roman" w:hAnsi="Times New Roman" w:cs="Times New Roman"/>
          <w:sz w:val="24"/>
          <w:szCs w:val="24"/>
        </w:rPr>
        <w:t xml:space="preserve">Dr. Scheuer Gyula </w:t>
      </w:r>
    </w:p>
    <w:p w:rsidR="000B76C6" w:rsidRPr="00E473F9" w:rsidRDefault="00A73803" w:rsidP="00E473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rektor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kancellár</w:t>
      </w:r>
    </w:p>
    <w:sectPr w:rsidR="000B76C6" w:rsidRPr="00E473F9">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3F2" w:rsidRDefault="001C53F2" w:rsidP="00F60E2F">
      <w:pPr>
        <w:spacing w:after="0" w:line="240" w:lineRule="auto"/>
      </w:pPr>
      <w:r>
        <w:separator/>
      </w:r>
    </w:p>
  </w:endnote>
  <w:endnote w:type="continuationSeparator" w:id="0">
    <w:p w:rsidR="001C53F2" w:rsidRDefault="001C53F2" w:rsidP="00F60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félkövér">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927628"/>
      <w:docPartObj>
        <w:docPartGallery w:val="Page Numbers (Bottom of Page)"/>
        <w:docPartUnique/>
      </w:docPartObj>
    </w:sdtPr>
    <w:sdtEndPr/>
    <w:sdtContent>
      <w:p w:rsidR="001C53F2" w:rsidRDefault="001C53F2">
        <w:pPr>
          <w:pStyle w:val="llb"/>
          <w:jc w:val="center"/>
        </w:pPr>
        <w:r>
          <w:fldChar w:fldCharType="begin"/>
        </w:r>
        <w:r>
          <w:instrText>PAGE   \* MERGEFORMAT</w:instrText>
        </w:r>
        <w:r>
          <w:fldChar w:fldCharType="separate"/>
        </w:r>
        <w:r w:rsidR="00DF54E0">
          <w:rPr>
            <w:noProof/>
          </w:rPr>
          <w:t>38</w:t>
        </w:r>
        <w:r>
          <w:fldChar w:fldCharType="end"/>
        </w:r>
      </w:p>
    </w:sdtContent>
  </w:sdt>
  <w:p w:rsidR="001C53F2" w:rsidRDefault="001C53F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3F2" w:rsidRDefault="001C53F2" w:rsidP="00F60E2F">
      <w:pPr>
        <w:spacing w:after="0" w:line="240" w:lineRule="auto"/>
      </w:pPr>
      <w:r>
        <w:separator/>
      </w:r>
    </w:p>
  </w:footnote>
  <w:footnote w:type="continuationSeparator" w:id="0">
    <w:p w:rsidR="001C53F2" w:rsidRDefault="001C53F2" w:rsidP="00F60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482D2A6"/>
    <w:lvl w:ilvl="0">
      <w:start w:val="1"/>
      <w:numFmt w:val="decimal"/>
      <w:pStyle w:val="Cmsor1"/>
      <w:lvlText w:val="%1. §"/>
      <w:lvlJc w:val="left"/>
      <w:pPr>
        <w:tabs>
          <w:tab w:val="num" w:pos="0"/>
        </w:tabs>
        <w:ind w:left="0" w:firstLine="0"/>
      </w:pPr>
      <w:rPr>
        <w:rFonts w:ascii="Times New Roman félkövér" w:hAnsi="Times New Roman félkövér"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or2"/>
      <w:lvlText w:val="(%2)"/>
      <w:lvlJc w:val="left"/>
      <w:pPr>
        <w:tabs>
          <w:tab w:val="num" w:pos="3828"/>
        </w:tabs>
        <w:ind w:left="4282" w:hanging="454"/>
      </w:pPr>
      <w:rPr>
        <w:rFonts w:ascii="Times New Roman" w:hAnsi="Times New Roman" w:hint="default"/>
        <w:b w:val="0"/>
        <w:i w:val="0"/>
      </w:rPr>
    </w:lvl>
    <w:lvl w:ilvl="2">
      <w:start w:val="1"/>
      <w:numFmt w:val="lowerLetter"/>
      <w:pStyle w:val="Cmsor3"/>
      <w:lvlText w:val="%3)"/>
      <w:lvlJc w:val="left"/>
      <w:pPr>
        <w:tabs>
          <w:tab w:val="num" w:pos="0"/>
        </w:tabs>
        <w:ind w:left="908" w:hanging="454"/>
      </w:pPr>
      <w:rPr>
        <w:rFonts w:ascii="Times New Roman" w:hAnsi="Times New Roman" w:hint="default"/>
      </w:rPr>
    </w:lvl>
    <w:lvl w:ilvl="3">
      <w:numFmt w:val="none"/>
      <w:lvlText w:val=""/>
      <w:lvlJc w:val="left"/>
      <w:pPr>
        <w:tabs>
          <w:tab w:val="num" w:pos="0"/>
        </w:tabs>
        <w:ind w:left="0" w:firstLine="0"/>
      </w:pPr>
      <w:rPr>
        <w:rFonts w:hint="default"/>
      </w:rPr>
    </w:lvl>
    <w:lvl w:ilvl="4">
      <w:start w:val="1"/>
      <w:numFmt w:val="decimal"/>
      <w:pStyle w:val="Cmsor5"/>
      <w:lvlText w:val="(%5)"/>
      <w:lvlJc w:val="left"/>
      <w:pPr>
        <w:tabs>
          <w:tab w:val="num" w:pos="0"/>
        </w:tabs>
        <w:ind w:left="1616" w:hanging="708"/>
      </w:pPr>
      <w:rPr>
        <w:rFonts w:hint="default"/>
      </w:rPr>
    </w:lvl>
    <w:lvl w:ilvl="5">
      <w:start w:val="1"/>
      <w:numFmt w:val="lowerLetter"/>
      <w:pStyle w:val="Cmsor6"/>
      <w:lvlText w:val="(%6)"/>
      <w:lvlJc w:val="left"/>
      <w:pPr>
        <w:tabs>
          <w:tab w:val="num" w:pos="0"/>
        </w:tabs>
        <w:ind w:left="2324" w:hanging="708"/>
      </w:pPr>
      <w:rPr>
        <w:rFonts w:hint="default"/>
      </w:rPr>
    </w:lvl>
    <w:lvl w:ilvl="6">
      <w:start w:val="1"/>
      <w:numFmt w:val="lowerRoman"/>
      <w:pStyle w:val="Cmsor7"/>
      <w:lvlText w:val="(%7)"/>
      <w:lvlJc w:val="left"/>
      <w:pPr>
        <w:tabs>
          <w:tab w:val="num" w:pos="0"/>
        </w:tabs>
        <w:ind w:left="3032" w:hanging="708"/>
      </w:pPr>
      <w:rPr>
        <w:rFonts w:hint="default"/>
      </w:rPr>
    </w:lvl>
    <w:lvl w:ilvl="7">
      <w:start w:val="1"/>
      <w:numFmt w:val="lowerLetter"/>
      <w:pStyle w:val="Cmsor8"/>
      <w:lvlText w:val="(%8)"/>
      <w:lvlJc w:val="left"/>
      <w:pPr>
        <w:tabs>
          <w:tab w:val="num" w:pos="0"/>
        </w:tabs>
        <w:ind w:left="3740" w:hanging="708"/>
      </w:pPr>
      <w:rPr>
        <w:rFonts w:hint="default"/>
      </w:rPr>
    </w:lvl>
    <w:lvl w:ilvl="8">
      <w:start w:val="1"/>
      <w:numFmt w:val="lowerRoman"/>
      <w:pStyle w:val="Cmsor9"/>
      <w:lvlText w:val="(%9)"/>
      <w:lvlJc w:val="left"/>
      <w:pPr>
        <w:tabs>
          <w:tab w:val="num" w:pos="0"/>
        </w:tabs>
        <w:ind w:left="4448" w:hanging="708"/>
      </w:pPr>
      <w:rPr>
        <w:rFonts w:hint="default"/>
      </w:rPr>
    </w:lvl>
  </w:abstractNum>
  <w:abstractNum w:abstractNumId="1" w15:restartNumberingAfterBreak="0">
    <w:nsid w:val="037843C6"/>
    <w:multiLevelType w:val="hybridMultilevel"/>
    <w:tmpl w:val="834C77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552065"/>
    <w:multiLevelType w:val="hybridMultilevel"/>
    <w:tmpl w:val="8A1E3614"/>
    <w:lvl w:ilvl="0" w:tplc="0AF6FC44">
      <w:start w:val="2"/>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C91DE3"/>
    <w:multiLevelType w:val="hybridMultilevel"/>
    <w:tmpl w:val="7C6CA83A"/>
    <w:lvl w:ilvl="0" w:tplc="3E8047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A075D39"/>
    <w:multiLevelType w:val="hybridMultilevel"/>
    <w:tmpl w:val="52C236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867A98"/>
    <w:multiLevelType w:val="hybridMultilevel"/>
    <w:tmpl w:val="D0609652"/>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1005AB5"/>
    <w:multiLevelType w:val="hybridMultilevel"/>
    <w:tmpl w:val="D7C660B8"/>
    <w:lvl w:ilvl="0" w:tplc="5CBE7EE6">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7" w15:restartNumberingAfterBreak="0">
    <w:nsid w:val="1A3E70AB"/>
    <w:multiLevelType w:val="hybridMultilevel"/>
    <w:tmpl w:val="235853AC"/>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 w15:restartNumberingAfterBreak="0">
    <w:nsid w:val="1C8B2915"/>
    <w:multiLevelType w:val="hybridMultilevel"/>
    <w:tmpl w:val="7B04C8BC"/>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4141B3"/>
    <w:multiLevelType w:val="hybridMultilevel"/>
    <w:tmpl w:val="6B669B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A51B31"/>
    <w:multiLevelType w:val="hybridMultilevel"/>
    <w:tmpl w:val="B06CCF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72623FA"/>
    <w:multiLevelType w:val="hybridMultilevel"/>
    <w:tmpl w:val="F1AA90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FD3664"/>
    <w:multiLevelType w:val="hybridMultilevel"/>
    <w:tmpl w:val="A61042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C754644"/>
    <w:multiLevelType w:val="multilevel"/>
    <w:tmpl w:val="B560D478"/>
    <w:lvl w:ilvl="0">
      <w:start w:val="1"/>
      <w:numFmt w:val="decimal"/>
      <w:lvlText w:val="%1."/>
      <w:lvlJc w:val="left"/>
      <w:pPr>
        <w:ind w:left="360" w:hanging="360"/>
      </w:pPr>
      <w:rPr>
        <w:rFonts w:hint="default"/>
      </w:rPr>
    </w:lvl>
    <w:lvl w:ilvl="1">
      <w:start w:val="5"/>
      <w:numFmt w:val="decimal"/>
      <w:isLgl/>
      <w:lvlText w:val="%1.%2."/>
      <w:lvlJc w:val="left"/>
      <w:pPr>
        <w:ind w:left="600" w:hanging="60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E2F71BB"/>
    <w:multiLevelType w:val="hybridMultilevel"/>
    <w:tmpl w:val="8392FBD4"/>
    <w:lvl w:ilvl="0" w:tplc="3296129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9A16CA"/>
    <w:multiLevelType w:val="hybridMultilevel"/>
    <w:tmpl w:val="0EF2AD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ECB5DAA"/>
    <w:multiLevelType w:val="hybridMultilevel"/>
    <w:tmpl w:val="123C02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F6A1F27"/>
    <w:multiLevelType w:val="hybridMultilevel"/>
    <w:tmpl w:val="BED2F2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F8717E4"/>
    <w:multiLevelType w:val="hybridMultilevel"/>
    <w:tmpl w:val="6ABE9B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2896425"/>
    <w:multiLevelType w:val="hybridMultilevel"/>
    <w:tmpl w:val="FCCA65BE"/>
    <w:lvl w:ilvl="0" w:tplc="730C02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2CB4E69"/>
    <w:multiLevelType w:val="hybridMultilevel"/>
    <w:tmpl w:val="88F49384"/>
    <w:lvl w:ilvl="0" w:tplc="5902FB2C">
      <w:start w:val="2019"/>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6312B06"/>
    <w:multiLevelType w:val="hybridMultilevel"/>
    <w:tmpl w:val="FBD47D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C391EF9"/>
    <w:multiLevelType w:val="hybridMultilevel"/>
    <w:tmpl w:val="DD40824A"/>
    <w:lvl w:ilvl="0" w:tplc="040E0001">
      <w:start w:val="1"/>
      <w:numFmt w:val="bullet"/>
      <w:lvlText w:val=""/>
      <w:lvlJc w:val="left"/>
      <w:pPr>
        <w:tabs>
          <w:tab w:val="num" w:pos="644"/>
        </w:tabs>
        <w:ind w:left="644" w:hanging="360"/>
      </w:pPr>
      <w:rPr>
        <w:rFonts w:ascii="Symbol" w:hAnsi="Symbol" w:hint="default"/>
      </w:rPr>
    </w:lvl>
    <w:lvl w:ilvl="1" w:tplc="040E0003" w:tentative="1">
      <w:start w:val="1"/>
      <w:numFmt w:val="bullet"/>
      <w:lvlText w:val="o"/>
      <w:lvlJc w:val="left"/>
      <w:pPr>
        <w:tabs>
          <w:tab w:val="num" w:pos="1364"/>
        </w:tabs>
        <w:ind w:left="1364" w:hanging="360"/>
      </w:pPr>
      <w:rPr>
        <w:rFonts w:ascii="Courier New" w:hAnsi="Courier New" w:cs="Courier New" w:hint="default"/>
      </w:rPr>
    </w:lvl>
    <w:lvl w:ilvl="2" w:tplc="040E0005" w:tentative="1">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3F10072A"/>
    <w:multiLevelType w:val="hybridMultilevel"/>
    <w:tmpl w:val="1618E0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38B670B"/>
    <w:multiLevelType w:val="hybridMultilevel"/>
    <w:tmpl w:val="2EBA0DB4"/>
    <w:lvl w:ilvl="0" w:tplc="13945C52">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3C64C88"/>
    <w:multiLevelType w:val="hybridMultilevel"/>
    <w:tmpl w:val="ADD2CF2C"/>
    <w:lvl w:ilvl="0" w:tplc="32B8096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0536A6"/>
    <w:multiLevelType w:val="hybridMultilevel"/>
    <w:tmpl w:val="69567F60"/>
    <w:lvl w:ilvl="0" w:tplc="040E0001">
      <w:start w:val="1"/>
      <w:numFmt w:val="bullet"/>
      <w:lvlText w:val=""/>
      <w:lvlJc w:val="left"/>
      <w:pPr>
        <w:tabs>
          <w:tab w:val="num" w:pos="780"/>
        </w:tabs>
        <w:ind w:left="780" w:hanging="360"/>
      </w:pPr>
      <w:rPr>
        <w:rFonts w:ascii="Symbol" w:hAnsi="Symbol" w:cs="Symbol" w:hint="default"/>
      </w:rPr>
    </w:lvl>
    <w:lvl w:ilvl="1" w:tplc="040E0003">
      <w:start w:val="1"/>
      <w:numFmt w:val="bullet"/>
      <w:lvlText w:val="o"/>
      <w:lvlJc w:val="left"/>
      <w:pPr>
        <w:tabs>
          <w:tab w:val="num" w:pos="1500"/>
        </w:tabs>
        <w:ind w:left="1500" w:hanging="360"/>
      </w:pPr>
      <w:rPr>
        <w:rFonts w:ascii="Courier New" w:hAnsi="Courier New" w:cs="Courier New" w:hint="default"/>
      </w:rPr>
    </w:lvl>
    <w:lvl w:ilvl="2" w:tplc="040E0005">
      <w:start w:val="1"/>
      <w:numFmt w:val="bullet"/>
      <w:lvlText w:val=""/>
      <w:lvlJc w:val="left"/>
      <w:pPr>
        <w:tabs>
          <w:tab w:val="num" w:pos="2220"/>
        </w:tabs>
        <w:ind w:left="2220" w:hanging="360"/>
      </w:pPr>
      <w:rPr>
        <w:rFonts w:ascii="Wingdings" w:hAnsi="Wingdings" w:cs="Wingdings" w:hint="default"/>
      </w:rPr>
    </w:lvl>
    <w:lvl w:ilvl="3" w:tplc="040E0001">
      <w:start w:val="1"/>
      <w:numFmt w:val="bullet"/>
      <w:lvlText w:val=""/>
      <w:lvlJc w:val="left"/>
      <w:pPr>
        <w:tabs>
          <w:tab w:val="num" w:pos="2940"/>
        </w:tabs>
        <w:ind w:left="2940" w:hanging="360"/>
      </w:pPr>
      <w:rPr>
        <w:rFonts w:ascii="Symbol" w:hAnsi="Symbol" w:cs="Symbol" w:hint="default"/>
      </w:rPr>
    </w:lvl>
    <w:lvl w:ilvl="4" w:tplc="040E0003">
      <w:start w:val="1"/>
      <w:numFmt w:val="bullet"/>
      <w:lvlText w:val="o"/>
      <w:lvlJc w:val="left"/>
      <w:pPr>
        <w:tabs>
          <w:tab w:val="num" w:pos="3660"/>
        </w:tabs>
        <w:ind w:left="3660" w:hanging="360"/>
      </w:pPr>
      <w:rPr>
        <w:rFonts w:ascii="Courier New" w:hAnsi="Courier New" w:cs="Courier New" w:hint="default"/>
      </w:rPr>
    </w:lvl>
    <w:lvl w:ilvl="5" w:tplc="040E0005">
      <w:start w:val="1"/>
      <w:numFmt w:val="bullet"/>
      <w:lvlText w:val=""/>
      <w:lvlJc w:val="left"/>
      <w:pPr>
        <w:tabs>
          <w:tab w:val="num" w:pos="4380"/>
        </w:tabs>
        <w:ind w:left="4380" w:hanging="360"/>
      </w:pPr>
      <w:rPr>
        <w:rFonts w:ascii="Wingdings" w:hAnsi="Wingdings" w:cs="Wingdings" w:hint="default"/>
      </w:rPr>
    </w:lvl>
    <w:lvl w:ilvl="6" w:tplc="040E0001">
      <w:start w:val="1"/>
      <w:numFmt w:val="bullet"/>
      <w:lvlText w:val=""/>
      <w:lvlJc w:val="left"/>
      <w:pPr>
        <w:tabs>
          <w:tab w:val="num" w:pos="5100"/>
        </w:tabs>
        <w:ind w:left="5100" w:hanging="360"/>
      </w:pPr>
      <w:rPr>
        <w:rFonts w:ascii="Symbol" w:hAnsi="Symbol" w:cs="Symbol" w:hint="default"/>
      </w:rPr>
    </w:lvl>
    <w:lvl w:ilvl="7" w:tplc="040E0003">
      <w:start w:val="1"/>
      <w:numFmt w:val="bullet"/>
      <w:lvlText w:val="o"/>
      <w:lvlJc w:val="left"/>
      <w:pPr>
        <w:tabs>
          <w:tab w:val="num" w:pos="5820"/>
        </w:tabs>
        <w:ind w:left="5820" w:hanging="360"/>
      </w:pPr>
      <w:rPr>
        <w:rFonts w:ascii="Courier New" w:hAnsi="Courier New" w:cs="Courier New" w:hint="default"/>
      </w:rPr>
    </w:lvl>
    <w:lvl w:ilvl="8" w:tplc="040E0005">
      <w:start w:val="1"/>
      <w:numFmt w:val="bullet"/>
      <w:lvlText w:val=""/>
      <w:lvlJc w:val="left"/>
      <w:pPr>
        <w:tabs>
          <w:tab w:val="num" w:pos="6540"/>
        </w:tabs>
        <w:ind w:left="6540" w:hanging="360"/>
      </w:pPr>
      <w:rPr>
        <w:rFonts w:ascii="Wingdings" w:hAnsi="Wingdings" w:cs="Wingdings" w:hint="default"/>
      </w:rPr>
    </w:lvl>
  </w:abstractNum>
  <w:abstractNum w:abstractNumId="27" w15:restartNumberingAfterBreak="0">
    <w:nsid w:val="47427B32"/>
    <w:multiLevelType w:val="hybridMultilevel"/>
    <w:tmpl w:val="C8B663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5166D63"/>
    <w:multiLevelType w:val="hybridMultilevel"/>
    <w:tmpl w:val="8F0888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62211A2"/>
    <w:multiLevelType w:val="hybridMultilevel"/>
    <w:tmpl w:val="4AA02B24"/>
    <w:lvl w:ilvl="0" w:tplc="58088142">
      <w:start w:val="2019"/>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C573081"/>
    <w:multiLevelType w:val="hybridMultilevel"/>
    <w:tmpl w:val="E4D42E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12E7DB2"/>
    <w:multiLevelType w:val="hybridMultilevel"/>
    <w:tmpl w:val="B622AE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37F5005"/>
    <w:multiLevelType w:val="hybridMultilevel"/>
    <w:tmpl w:val="3538338C"/>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3A2092D"/>
    <w:multiLevelType w:val="hybridMultilevel"/>
    <w:tmpl w:val="5400061C"/>
    <w:lvl w:ilvl="0" w:tplc="FBF6D67A">
      <w:start w:val="1"/>
      <w:numFmt w:val="bullet"/>
      <w:lvlText w:val="-"/>
      <w:lvlJc w:val="left"/>
      <w:pPr>
        <w:tabs>
          <w:tab w:val="num" w:pos="644"/>
        </w:tabs>
        <w:ind w:left="644" w:hanging="360"/>
      </w:pPr>
      <w:rPr>
        <w:rFonts w:ascii="Trebuchet MS" w:hAnsi="Trebuchet MS" w:hint="default"/>
      </w:rPr>
    </w:lvl>
    <w:lvl w:ilvl="1" w:tplc="040E0003" w:tentative="1">
      <w:start w:val="1"/>
      <w:numFmt w:val="bullet"/>
      <w:lvlText w:val="o"/>
      <w:lvlJc w:val="left"/>
      <w:pPr>
        <w:tabs>
          <w:tab w:val="num" w:pos="1364"/>
        </w:tabs>
        <w:ind w:left="1364" w:hanging="360"/>
      </w:pPr>
      <w:rPr>
        <w:rFonts w:ascii="Courier New" w:hAnsi="Courier New" w:cs="Courier New" w:hint="default"/>
      </w:rPr>
    </w:lvl>
    <w:lvl w:ilvl="2" w:tplc="040E0005" w:tentative="1">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34" w15:restartNumberingAfterBreak="0">
    <w:nsid w:val="65EE1B8C"/>
    <w:multiLevelType w:val="hybridMultilevel"/>
    <w:tmpl w:val="15BC4F9C"/>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A0C28BC"/>
    <w:multiLevelType w:val="singleLevel"/>
    <w:tmpl w:val="040E0001"/>
    <w:lvl w:ilvl="0">
      <w:start w:val="1"/>
      <w:numFmt w:val="bullet"/>
      <w:lvlText w:val=""/>
      <w:lvlJc w:val="left"/>
      <w:pPr>
        <w:tabs>
          <w:tab w:val="num" w:pos="720"/>
        </w:tabs>
        <w:ind w:left="720" w:hanging="360"/>
      </w:pPr>
      <w:rPr>
        <w:rFonts w:ascii="Symbol" w:hAnsi="Symbol" w:cs="Symbol" w:hint="default"/>
      </w:rPr>
    </w:lvl>
  </w:abstractNum>
  <w:abstractNum w:abstractNumId="36" w15:restartNumberingAfterBreak="0">
    <w:nsid w:val="6F2C350E"/>
    <w:multiLevelType w:val="hybridMultilevel"/>
    <w:tmpl w:val="46D827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02D386A"/>
    <w:multiLevelType w:val="hybridMultilevel"/>
    <w:tmpl w:val="D33C44D8"/>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8" w15:restartNumberingAfterBreak="0">
    <w:nsid w:val="70900CAF"/>
    <w:multiLevelType w:val="hybridMultilevel"/>
    <w:tmpl w:val="97B69120"/>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7541E2C"/>
    <w:multiLevelType w:val="hybridMultilevel"/>
    <w:tmpl w:val="54F0E43E"/>
    <w:lvl w:ilvl="0" w:tplc="9D7C3BB6">
      <w:start w:val="1"/>
      <w:numFmt w:val="bullet"/>
      <w:lvlText w:val="‒"/>
      <w:lvlJc w:val="left"/>
      <w:pPr>
        <w:ind w:left="720" w:hanging="360"/>
      </w:pPr>
      <w:rPr>
        <w:rFonts w:ascii="Times New Roman" w:hAnsi="Times New Roman" w:cs="Times New Roman" w:hint="default"/>
        <w:sz w:val="16"/>
        <w:szCs w:val="16"/>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8855AFA"/>
    <w:multiLevelType w:val="hybridMultilevel"/>
    <w:tmpl w:val="A992F88C"/>
    <w:lvl w:ilvl="0" w:tplc="6C903618">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B292F35"/>
    <w:multiLevelType w:val="hybridMultilevel"/>
    <w:tmpl w:val="A4060EDC"/>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2" w15:restartNumberingAfterBreak="0">
    <w:nsid w:val="7E8B74B4"/>
    <w:multiLevelType w:val="hybridMultilevel"/>
    <w:tmpl w:val="C8342ED8"/>
    <w:lvl w:ilvl="0" w:tplc="E7B49D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9"/>
  </w:num>
  <w:num w:numId="3">
    <w:abstractNumId w:val="4"/>
  </w:num>
  <w:num w:numId="4">
    <w:abstractNumId w:val="35"/>
  </w:num>
  <w:num w:numId="5">
    <w:abstractNumId w:val="38"/>
  </w:num>
  <w:num w:numId="6">
    <w:abstractNumId w:val="5"/>
  </w:num>
  <w:num w:numId="7">
    <w:abstractNumId w:val="26"/>
  </w:num>
  <w:num w:numId="8">
    <w:abstractNumId w:val="32"/>
  </w:num>
  <w:num w:numId="9">
    <w:abstractNumId w:val="23"/>
  </w:num>
  <w:num w:numId="10">
    <w:abstractNumId w:val="7"/>
  </w:num>
  <w:num w:numId="11">
    <w:abstractNumId w:val="21"/>
  </w:num>
  <w:num w:numId="12">
    <w:abstractNumId w:val="27"/>
  </w:num>
  <w:num w:numId="13">
    <w:abstractNumId w:val="13"/>
  </w:num>
  <w:num w:numId="14">
    <w:abstractNumId w:val="19"/>
  </w:num>
  <w:num w:numId="15">
    <w:abstractNumId w:val="6"/>
  </w:num>
  <w:num w:numId="16">
    <w:abstractNumId w:val="42"/>
  </w:num>
  <w:num w:numId="17">
    <w:abstractNumId w:val="12"/>
  </w:num>
  <w:num w:numId="18">
    <w:abstractNumId w:val="24"/>
  </w:num>
  <w:num w:numId="19">
    <w:abstractNumId w:val="3"/>
  </w:num>
  <w:num w:numId="20">
    <w:abstractNumId w:val="14"/>
  </w:num>
  <w:num w:numId="21">
    <w:abstractNumId w:val="25"/>
  </w:num>
  <w:num w:numId="22">
    <w:abstractNumId w:val="40"/>
  </w:num>
  <w:num w:numId="23">
    <w:abstractNumId w:val="31"/>
  </w:num>
  <w:num w:numId="24">
    <w:abstractNumId w:val="30"/>
  </w:num>
  <w:num w:numId="25">
    <w:abstractNumId w:val="36"/>
  </w:num>
  <w:num w:numId="26">
    <w:abstractNumId w:val="9"/>
  </w:num>
  <w:num w:numId="27">
    <w:abstractNumId w:val="33"/>
  </w:num>
  <w:num w:numId="28">
    <w:abstractNumId w:val="8"/>
  </w:num>
  <w:num w:numId="29">
    <w:abstractNumId w:val="2"/>
  </w:num>
  <w:num w:numId="30">
    <w:abstractNumId w:val="10"/>
  </w:num>
  <w:num w:numId="31">
    <w:abstractNumId w:val="29"/>
  </w:num>
  <w:num w:numId="32">
    <w:abstractNumId w:val="20"/>
  </w:num>
  <w:num w:numId="33">
    <w:abstractNumId w:val="37"/>
  </w:num>
  <w:num w:numId="34">
    <w:abstractNumId w:val="18"/>
  </w:num>
  <w:num w:numId="35">
    <w:abstractNumId w:val="31"/>
  </w:num>
  <w:num w:numId="36">
    <w:abstractNumId w:val="41"/>
  </w:num>
  <w:num w:numId="37">
    <w:abstractNumId w:val="15"/>
  </w:num>
  <w:num w:numId="38">
    <w:abstractNumId w:val="22"/>
  </w:num>
  <w:num w:numId="39">
    <w:abstractNumId w:val="34"/>
  </w:num>
  <w:num w:numId="40">
    <w:abstractNumId w:val="17"/>
  </w:num>
  <w:num w:numId="41">
    <w:abstractNumId w:val="28"/>
  </w:num>
  <w:num w:numId="42">
    <w:abstractNumId w:val="1"/>
  </w:num>
  <w:num w:numId="43">
    <w:abstractNumId w:val="11"/>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EC"/>
    <w:rsid w:val="000004B0"/>
    <w:rsid w:val="000045EC"/>
    <w:rsid w:val="00013957"/>
    <w:rsid w:val="00024700"/>
    <w:rsid w:val="00026D2E"/>
    <w:rsid w:val="00033ACA"/>
    <w:rsid w:val="00051CE3"/>
    <w:rsid w:val="000557E2"/>
    <w:rsid w:val="00055F4B"/>
    <w:rsid w:val="00084B77"/>
    <w:rsid w:val="000B76C6"/>
    <w:rsid w:val="000F157E"/>
    <w:rsid w:val="000F5B3F"/>
    <w:rsid w:val="00127D38"/>
    <w:rsid w:val="001331C5"/>
    <w:rsid w:val="001424B7"/>
    <w:rsid w:val="00142A2C"/>
    <w:rsid w:val="00157540"/>
    <w:rsid w:val="001C10D4"/>
    <w:rsid w:val="001C53F2"/>
    <w:rsid w:val="001F16FD"/>
    <w:rsid w:val="001F2A53"/>
    <w:rsid w:val="001F7BD1"/>
    <w:rsid w:val="00204452"/>
    <w:rsid w:val="00205A32"/>
    <w:rsid w:val="00215834"/>
    <w:rsid w:val="002363F8"/>
    <w:rsid w:val="00247CBF"/>
    <w:rsid w:val="00252EE6"/>
    <w:rsid w:val="002874C0"/>
    <w:rsid w:val="00291122"/>
    <w:rsid w:val="002A4F21"/>
    <w:rsid w:val="002B0F78"/>
    <w:rsid w:val="002C5085"/>
    <w:rsid w:val="002D488F"/>
    <w:rsid w:val="002F4B31"/>
    <w:rsid w:val="002F6513"/>
    <w:rsid w:val="00301A06"/>
    <w:rsid w:val="00320EEE"/>
    <w:rsid w:val="003313BE"/>
    <w:rsid w:val="00357318"/>
    <w:rsid w:val="003616F8"/>
    <w:rsid w:val="00374A64"/>
    <w:rsid w:val="003A41CC"/>
    <w:rsid w:val="003B4704"/>
    <w:rsid w:val="003B537A"/>
    <w:rsid w:val="003C16B5"/>
    <w:rsid w:val="003D139F"/>
    <w:rsid w:val="003E686B"/>
    <w:rsid w:val="003E6FBD"/>
    <w:rsid w:val="003F6330"/>
    <w:rsid w:val="003F6EE9"/>
    <w:rsid w:val="003F7B1A"/>
    <w:rsid w:val="004018F4"/>
    <w:rsid w:val="00401F46"/>
    <w:rsid w:val="00410BA0"/>
    <w:rsid w:val="00420640"/>
    <w:rsid w:val="00421266"/>
    <w:rsid w:val="004437F8"/>
    <w:rsid w:val="004977E6"/>
    <w:rsid w:val="004B7ECA"/>
    <w:rsid w:val="004C1035"/>
    <w:rsid w:val="004C4095"/>
    <w:rsid w:val="004C5EBC"/>
    <w:rsid w:val="004D4CC2"/>
    <w:rsid w:val="004E0C21"/>
    <w:rsid w:val="004E1614"/>
    <w:rsid w:val="004E612E"/>
    <w:rsid w:val="004E754B"/>
    <w:rsid w:val="00501140"/>
    <w:rsid w:val="00511FA8"/>
    <w:rsid w:val="00527A6C"/>
    <w:rsid w:val="00543734"/>
    <w:rsid w:val="00551745"/>
    <w:rsid w:val="00552F89"/>
    <w:rsid w:val="00577A12"/>
    <w:rsid w:val="00582485"/>
    <w:rsid w:val="00597EC8"/>
    <w:rsid w:val="005A1CDB"/>
    <w:rsid w:val="005A3258"/>
    <w:rsid w:val="005A3EC6"/>
    <w:rsid w:val="005A7CB5"/>
    <w:rsid w:val="005B4C28"/>
    <w:rsid w:val="005D4F71"/>
    <w:rsid w:val="00627E60"/>
    <w:rsid w:val="00645ED1"/>
    <w:rsid w:val="00655F33"/>
    <w:rsid w:val="00666376"/>
    <w:rsid w:val="00683738"/>
    <w:rsid w:val="006901DE"/>
    <w:rsid w:val="00695953"/>
    <w:rsid w:val="006A7210"/>
    <w:rsid w:val="006C2490"/>
    <w:rsid w:val="006D3F7B"/>
    <w:rsid w:val="006E2D2C"/>
    <w:rsid w:val="006E3031"/>
    <w:rsid w:val="006F5BC6"/>
    <w:rsid w:val="00707ED0"/>
    <w:rsid w:val="007134CF"/>
    <w:rsid w:val="00735CEA"/>
    <w:rsid w:val="00737D37"/>
    <w:rsid w:val="00742AAB"/>
    <w:rsid w:val="00771CD1"/>
    <w:rsid w:val="007B19D5"/>
    <w:rsid w:val="007C27BA"/>
    <w:rsid w:val="007D47A5"/>
    <w:rsid w:val="007E00B4"/>
    <w:rsid w:val="007F09E4"/>
    <w:rsid w:val="007F25F3"/>
    <w:rsid w:val="007F6C59"/>
    <w:rsid w:val="007F735A"/>
    <w:rsid w:val="008003D2"/>
    <w:rsid w:val="008053D1"/>
    <w:rsid w:val="00805717"/>
    <w:rsid w:val="0081755E"/>
    <w:rsid w:val="008358AE"/>
    <w:rsid w:val="00845151"/>
    <w:rsid w:val="008509BC"/>
    <w:rsid w:val="00852F1D"/>
    <w:rsid w:val="00855BF5"/>
    <w:rsid w:val="008563E8"/>
    <w:rsid w:val="00873BC7"/>
    <w:rsid w:val="0087434C"/>
    <w:rsid w:val="00890730"/>
    <w:rsid w:val="008A18B3"/>
    <w:rsid w:val="008B73A0"/>
    <w:rsid w:val="008C4167"/>
    <w:rsid w:val="008C48B3"/>
    <w:rsid w:val="008E7C9F"/>
    <w:rsid w:val="00910CF5"/>
    <w:rsid w:val="0093548F"/>
    <w:rsid w:val="0095364B"/>
    <w:rsid w:val="00966C11"/>
    <w:rsid w:val="00967725"/>
    <w:rsid w:val="00990DA3"/>
    <w:rsid w:val="00991D83"/>
    <w:rsid w:val="00997A96"/>
    <w:rsid w:val="009B585A"/>
    <w:rsid w:val="009C7DF4"/>
    <w:rsid w:val="00A02609"/>
    <w:rsid w:val="00A121FD"/>
    <w:rsid w:val="00A16D3C"/>
    <w:rsid w:val="00A26A1F"/>
    <w:rsid w:val="00A44C0A"/>
    <w:rsid w:val="00A47217"/>
    <w:rsid w:val="00A561CD"/>
    <w:rsid w:val="00A64A27"/>
    <w:rsid w:val="00A6710F"/>
    <w:rsid w:val="00A73803"/>
    <w:rsid w:val="00A7409B"/>
    <w:rsid w:val="00AA1B07"/>
    <w:rsid w:val="00AB0E85"/>
    <w:rsid w:val="00AB1CB5"/>
    <w:rsid w:val="00AB6441"/>
    <w:rsid w:val="00AC0805"/>
    <w:rsid w:val="00AD662F"/>
    <w:rsid w:val="00AD67D1"/>
    <w:rsid w:val="00B04BD7"/>
    <w:rsid w:val="00B13778"/>
    <w:rsid w:val="00B16F29"/>
    <w:rsid w:val="00B21765"/>
    <w:rsid w:val="00B371B6"/>
    <w:rsid w:val="00B444A3"/>
    <w:rsid w:val="00B44D83"/>
    <w:rsid w:val="00B70418"/>
    <w:rsid w:val="00B917E3"/>
    <w:rsid w:val="00BA4AC9"/>
    <w:rsid w:val="00BE1E2F"/>
    <w:rsid w:val="00BF17D3"/>
    <w:rsid w:val="00BF7A72"/>
    <w:rsid w:val="00C03F01"/>
    <w:rsid w:val="00C373FE"/>
    <w:rsid w:val="00CA0CC0"/>
    <w:rsid w:val="00D0422C"/>
    <w:rsid w:val="00D0508C"/>
    <w:rsid w:val="00D079F2"/>
    <w:rsid w:val="00D247F6"/>
    <w:rsid w:val="00D3047E"/>
    <w:rsid w:val="00D304F4"/>
    <w:rsid w:val="00D418A3"/>
    <w:rsid w:val="00D43A2E"/>
    <w:rsid w:val="00D45C42"/>
    <w:rsid w:val="00D513E6"/>
    <w:rsid w:val="00D72BF2"/>
    <w:rsid w:val="00D87F93"/>
    <w:rsid w:val="00D903E9"/>
    <w:rsid w:val="00DA4132"/>
    <w:rsid w:val="00DB2F3F"/>
    <w:rsid w:val="00DC5C18"/>
    <w:rsid w:val="00DD4501"/>
    <w:rsid w:val="00DF54E0"/>
    <w:rsid w:val="00E07228"/>
    <w:rsid w:val="00E12F2B"/>
    <w:rsid w:val="00E1387F"/>
    <w:rsid w:val="00E16FE8"/>
    <w:rsid w:val="00E2067B"/>
    <w:rsid w:val="00E424D3"/>
    <w:rsid w:val="00E42AA5"/>
    <w:rsid w:val="00E473F9"/>
    <w:rsid w:val="00E54FFD"/>
    <w:rsid w:val="00E621C3"/>
    <w:rsid w:val="00E70164"/>
    <w:rsid w:val="00E9041D"/>
    <w:rsid w:val="00E93F21"/>
    <w:rsid w:val="00EC2702"/>
    <w:rsid w:val="00EC340B"/>
    <w:rsid w:val="00EC5044"/>
    <w:rsid w:val="00ED50AA"/>
    <w:rsid w:val="00EE0446"/>
    <w:rsid w:val="00EE7F7D"/>
    <w:rsid w:val="00EF0C37"/>
    <w:rsid w:val="00F03415"/>
    <w:rsid w:val="00F128AD"/>
    <w:rsid w:val="00F16F3E"/>
    <w:rsid w:val="00F23975"/>
    <w:rsid w:val="00F2590C"/>
    <w:rsid w:val="00F36855"/>
    <w:rsid w:val="00F42AA1"/>
    <w:rsid w:val="00F4486C"/>
    <w:rsid w:val="00F60E2F"/>
    <w:rsid w:val="00FB16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FEB21"/>
  <w15:docId w15:val="{5E6251D0-4DBE-44CA-B1E6-DD560FFD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47F6"/>
  </w:style>
  <w:style w:type="paragraph" w:styleId="Cmsor1">
    <w:name w:val="heading 1"/>
    <w:basedOn w:val="Norml"/>
    <w:next w:val="Cmsor2"/>
    <w:link w:val="Cmsor1Char"/>
    <w:uiPriority w:val="9"/>
    <w:qFormat/>
    <w:rsid w:val="000045EC"/>
    <w:pPr>
      <w:numPr>
        <w:numId w:val="1"/>
      </w:numPr>
      <w:shd w:val="clear" w:color="auto" w:fill="000000"/>
      <w:spacing w:before="120" w:after="60" w:line="260" w:lineRule="atLeast"/>
      <w:jc w:val="center"/>
      <w:textboxTightWrap w:val="allLines"/>
      <w:outlineLvl w:val="0"/>
    </w:pPr>
    <w:rPr>
      <w:rFonts w:ascii="Times New Roman" w:eastAsia="Times New Roman" w:hAnsi="Times New Roman" w:cs="Times New Roman"/>
      <w:b/>
      <w:kern w:val="28"/>
      <w:szCs w:val="20"/>
      <w:lang w:eastAsia="hu-HU"/>
    </w:rPr>
  </w:style>
  <w:style w:type="paragraph" w:styleId="Cmsor2">
    <w:name w:val="heading 2"/>
    <w:basedOn w:val="Norml"/>
    <w:link w:val="Cmsor2Char"/>
    <w:uiPriority w:val="9"/>
    <w:qFormat/>
    <w:rsid w:val="000045EC"/>
    <w:pPr>
      <w:numPr>
        <w:ilvl w:val="1"/>
        <w:numId w:val="1"/>
      </w:numPr>
      <w:spacing w:before="60" w:after="60" w:line="260" w:lineRule="atLeast"/>
      <w:jc w:val="both"/>
      <w:outlineLvl w:val="1"/>
    </w:pPr>
    <w:rPr>
      <w:rFonts w:ascii="Times New Roman" w:eastAsia="Times New Roman" w:hAnsi="Times New Roman" w:cs="Times New Roman"/>
      <w:szCs w:val="20"/>
    </w:rPr>
  </w:style>
  <w:style w:type="paragraph" w:styleId="Cmsor3">
    <w:name w:val="heading 3"/>
    <w:basedOn w:val="Norml"/>
    <w:next w:val="Norml"/>
    <w:link w:val="Cmsor3Char"/>
    <w:uiPriority w:val="9"/>
    <w:qFormat/>
    <w:rsid w:val="000045EC"/>
    <w:pPr>
      <w:numPr>
        <w:ilvl w:val="2"/>
        <w:numId w:val="1"/>
      </w:numPr>
      <w:spacing w:after="0" w:line="260" w:lineRule="atLeast"/>
      <w:jc w:val="both"/>
      <w:outlineLvl w:val="2"/>
    </w:pPr>
    <w:rPr>
      <w:rFonts w:ascii="Times New Roman" w:eastAsia="Times New Roman" w:hAnsi="Times New Roman" w:cs="Times New Roman"/>
      <w:szCs w:val="20"/>
      <w:lang w:eastAsia="hu-HU"/>
    </w:rPr>
  </w:style>
  <w:style w:type="paragraph" w:styleId="Cmsor5">
    <w:name w:val="heading 5"/>
    <w:basedOn w:val="Norml"/>
    <w:next w:val="Norml"/>
    <w:link w:val="Cmsor5Char"/>
    <w:qFormat/>
    <w:rsid w:val="000045EC"/>
    <w:pPr>
      <w:numPr>
        <w:ilvl w:val="4"/>
        <w:numId w:val="1"/>
      </w:numPr>
      <w:spacing w:before="240" w:after="60" w:line="260" w:lineRule="atLeast"/>
      <w:jc w:val="both"/>
      <w:outlineLvl w:val="4"/>
    </w:pPr>
    <w:rPr>
      <w:rFonts w:ascii="Arial" w:eastAsia="Times New Roman" w:hAnsi="Arial" w:cs="Times New Roman"/>
      <w:szCs w:val="20"/>
      <w:lang w:eastAsia="hu-HU"/>
    </w:rPr>
  </w:style>
  <w:style w:type="paragraph" w:styleId="Cmsor6">
    <w:name w:val="heading 6"/>
    <w:basedOn w:val="Norml"/>
    <w:next w:val="Norml"/>
    <w:link w:val="Cmsor6Char"/>
    <w:qFormat/>
    <w:rsid w:val="000045EC"/>
    <w:pPr>
      <w:numPr>
        <w:ilvl w:val="5"/>
        <w:numId w:val="1"/>
      </w:numPr>
      <w:spacing w:before="240" w:after="60" w:line="260" w:lineRule="atLeast"/>
      <w:jc w:val="both"/>
      <w:outlineLvl w:val="5"/>
    </w:pPr>
    <w:rPr>
      <w:rFonts w:ascii="Times New Roman" w:eastAsia="Times New Roman" w:hAnsi="Times New Roman" w:cs="Times New Roman"/>
      <w:i/>
      <w:szCs w:val="20"/>
      <w:lang w:eastAsia="hu-HU"/>
    </w:rPr>
  </w:style>
  <w:style w:type="paragraph" w:styleId="Cmsor7">
    <w:name w:val="heading 7"/>
    <w:basedOn w:val="Norml"/>
    <w:next w:val="Norml"/>
    <w:link w:val="Cmsor7Char"/>
    <w:qFormat/>
    <w:rsid w:val="000045EC"/>
    <w:pPr>
      <w:numPr>
        <w:ilvl w:val="6"/>
        <w:numId w:val="1"/>
      </w:numPr>
      <w:spacing w:before="240" w:after="60" w:line="260" w:lineRule="atLeast"/>
      <w:jc w:val="both"/>
      <w:outlineLvl w:val="6"/>
    </w:pPr>
    <w:rPr>
      <w:rFonts w:ascii="Arial" w:eastAsia="Times New Roman" w:hAnsi="Arial" w:cs="Times New Roman"/>
      <w:sz w:val="20"/>
      <w:szCs w:val="20"/>
      <w:lang w:eastAsia="hu-HU"/>
    </w:rPr>
  </w:style>
  <w:style w:type="paragraph" w:styleId="Cmsor8">
    <w:name w:val="heading 8"/>
    <w:basedOn w:val="Norml"/>
    <w:next w:val="Norml"/>
    <w:link w:val="Cmsor8Char"/>
    <w:qFormat/>
    <w:rsid w:val="000045EC"/>
    <w:pPr>
      <w:numPr>
        <w:ilvl w:val="7"/>
        <w:numId w:val="1"/>
      </w:numPr>
      <w:spacing w:before="240" w:after="60" w:line="260" w:lineRule="atLeast"/>
      <w:jc w:val="both"/>
      <w:outlineLvl w:val="7"/>
    </w:pPr>
    <w:rPr>
      <w:rFonts w:ascii="Arial" w:eastAsia="Times New Roman" w:hAnsi="Arial" w:cs="Times New Roman"/>
      <w:i/>
      <w:sz w:val="20"/>
      <w:szCs w:val="20"/>
      <w:lang w:eastAsia="hu-HU"/>
    </w:rPr>
  </w:style>
  <w:style w:type="paragraph" w:styleId="Cmsor9">
    <w:name w:val="heading 9"/>
    <w:basedOn w:val="Norml"/>
    <w:next w:val="Norml"/>
    <w:link w:val="Cmsor9Char"/>
    <w:qFormat/>
    <w:rsid w:val="000045EC"/>
    <w:pPr>
      <w:numPr>
        <w:ilvl w:val="8"/>
        <w:numId w:val="1"/>
      </w:numPr>
      <w:spacing w:before="240" w:after="60" w:line="260" w:lineRule="atLeast"/>
      <w:jc w:val="both"/>
      <w:outlineLvl w:val="8"/>
    </w:pPr>
    <w:rPr>
      <w:rFonts w:ascii="Arial" w:eastAsia="Times New Roman" w:hAnsi="Arial" w:cs="Times New Roman"/>
      <w:b/>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045EC"/>
    <w:rPr>
      <w:rFonts w:ascii="Times New Roman" w:eastAsia="Times New Roman" w:hAnsi="Times New Roman" w:cs="Times New Roman"/>
      <w:b/>
      <w:kern w:val="28"/>
      <w:szCs w:val="20"/>
      <w:shd w:val="clear" w:color="auto" w:fill="000000"/>
      <w:lang w:eastAsia="hu-HU"/>
    </w:rPr>
  </w:style>
  <w:style w:type="character" w:customStyle="1" w:styleId="Cmsor2Char">
    <w:name w:val="Címsor 2 Char"/>
    <w:basedOn w:val="Bekezdsalapbettpusa"/>
    <w:link w:val="Cmsor2"/>
    <w:uiPriority w:val="9"/>
    <w:rsid w:val="000045EC"/>
    <w:rPr>
      <w:rFonts w:ascii="Times New Roman" w:eastAsia="Times New Roman" w:hAnsi="Times New Roman" w:cs="Times New Roman"/>
      <w:szCs w:val="20"/>
    </w:rPr>
  </w:style>
  <w:style w:type="character" w:customStyle="1" w:styleId="Cmsor3Char">
    <w:name w:val="Címsor 3 Char"/>
    <w:basedOn w:val="Bekezdsalapbettpusa"/>
    <w:link w:val="Cmsor3"/>
    <w:uiPriority w:val="9"/>
    <w:rsid w:val="000045EC"/>
    <w:rPr>
      <w:rFonts w:ascii="Times New Roman" w:eastAsia="Times New Roman" w:hAnsi="Times New Roman" w:cs="Times New Roman"/>
      <w:szCs w:val="20"/>
      <w:lang w:eastAsia="hu-HU"/>
    </w:rPr>
  </w:style>
  <w:style w:type="character" w:customStyle="1" w:styleId="Cmsor5Char">
    <w:name w:val="Címsor 5 Char"/>
    <w:basedOn w:val="Bekezdsalapbettpusa"/>
    <w:link w:val="Cmsor5"/>
    <w:rsid w:val="000045EC"/>
    <w:rPr>
      <w:rFonts w:ascii="Arial" w:eastAsia="Times New Roman" w:hAnsi="Arial" w:cs="Times New Roman"/>
      <w:szCs w:val="20"/>
      <w:lang w:eastAsia="hu-HU"/>
    </w:rPr>
  </w:style>
  <w:style w:type="character" w:customStyle="1" w:styleId="Cmsor6Char">
    <w:name w:val="Címsor 6 Char"/>
    <w:basedOn w:val="Bekezdsalapbettpusa"/>
    <w:link w:val="Cmsor6"/>
    <w:rsid w:val="000045EC"/>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0045EC"/>
    <w:rPr>
      <w:rFonts w:ascii="Arial" w:eastAsia="Times New Roman" w:hAnsi="Arial" w:cs="Times New Roman"/>
      <w:sz w:val="20"/>
      <w:szCs w:val="20"/>
      <w:lang w:eastAsia="hu-HU"/>
    </w:rPr>
  </w:style>
  <w:style w:type="character" w:customStyle="1" w:styleId="Cmsor8Char">
    <w:name w:val="Címsor 8 Char"/>
    <w:basedOn w:val="Bekezdsalapbettpusa"/>
    <w:link w:val="Cmsor8"/>
    <w:rsid w:val="000045EC"/>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0045EC"/>
    <w:rPr>
      <w:rFonts w:ascii="Arial" w:eastAsia="Times New Roman" w:hAnsi="Arial" w:cs="Times New Roman"/>
      <w:b/>
      <w:i/>
      <w:sz w:val="18"/>
      <w:szCs w:val="20"/>
      <w:lang w:eastAsia="hu-HU"/>
    </w:rPr>
  </w:style>
  <w:style w:type="paragraph" w:styleId="Listaszerbekezds">
    <w:name w:val="List Paragraph"/>
    <w:basedOn w:val="Norml"/>
    <w:link w:val="ListaszerbekezdsChar"/>
    <w:uiPriority w:val="34"/>
    <w:qFormat/>
    <w:rsid w:val="000045EC"/>
    <w:pPr>
      <w:spacing w:after="120" w:line="240" w:lineRule="auto"/>
      <w:ind w:left="720"/>
      <w:contextualSpacing/>
      <w:jc w:val="both"/>
    </w:pPr>
    <w:rPr>
      <w:rFonts w:ascii="Times New Roman" w:eastAsia="Times New Roman" w:hAnsi="Times New Roman" w:cs="Times New Roman"/>
      <w:sz w:val="24"/>
      <w:szCs w:val="20"/>
      <w:lang w:eastAsia="hu-HU"/>
    </w:rPr>
  </w:style>
  <w:style w:type="character" w:customStyle="1" w:styleId="ListaszerbekezdsChar">
    <w:name w:val="Listaszerű bekezdés Char"/>
    <w:link w:val="Listaszerbekezds"/>
    <w:uiPriority w:val="34"/>
    <w:locked/>
    <w:rsid w:val="000045EC"/>
    <w:rPr>
      <w:rFonts w:ascii="Times New Roman" w:eastAsia="Times New Roman" w:hAnsi="Times New Roman" w:cs="Times New Roman"/>
      <w:sz w:val="24"/>
      <w:szCs w:val="20"/>
      <w:lang w:eastAsia="hu-HU"/>
    </w:rPr>
  </w:style>
  <w:style w:type="character" w:styleId="Hiperhivatkozs">
    <w:name w:val="Hyperlink"/>
    <w:rsid w:val="00320EEE"/>
    <w:rPr>
      <w:color w:val="0000FF"/>
      <w:u w:val="single"/>
    </w:rPr>
  </w:style>
  <w:style w:type="paragraph" w:styleId="NormlWeb">
    <w:name w:val="Normal (Web)"/>
    <w:basedOn w:val="Norml"/>
    <w:uiPriority w:val="99"/>
    <w:rsid w:val="00320EEE"/>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470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B4704"/>
    <w:rPr>
      <w:rFonts w:ascii="Segoe UI" w:hAnsi="Segoe UI" w:cs="Segoe UI"/>
      <w:sz w:val="18"/>
      <w:szCs w:val="18"/>
    </w:rPr>
  </w:style>
  <w:style w:type="table" w:styleId="Rcsostblzat">
    <w:name w:val="Table Grid"/>
    <w:basedOn w:val="Normltblzat"/>
    <w:uiPriority w:val="39"/>
    <w:rsid w:val="00AB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F60E2F"/>
    <w:pPr>
      <w:tabs>
        <w:tab w:val="center" w:pos="4536"/>
        <w:tab w:val="right" w:pos="9072"/>
      </w:tabs>
      <w:spacing w:after="0" w:line="240" w:lineRule="auto"/>
    </w:pPr>
  </w:style>
  <w:style w:type="character" w:customStyle="1" w:styleId="lfejChar">
    <w:name w:val="Élőfej Char"/>
    <w:basedOn w:val="Bekezdsalapbettpusa"/>
    <w:link w:val="lfej"/>
    <w:uiPriority w:val="99"/>
    <w:rsid w:val="00F60E2F"/>
  </w:style>
  <w:style w:type="paragraph" w:styleId="llb">
    <w:name w:val="footer"/>
    <w:basedOn w:val="Norml"/>
    <w:link w:val="llbChar"/>
    <w:uiPriority w:val="99"/>
    <w:unhideWhenUsed/>
    <w:rsid w:val="00F60E2F"/>
    <w:pPr>
      <w:tabs>
        <w:tab w:val="center" w:pos="4536"/>
        <w:tab w:val="right" w:pos="9072"/>
      </w:tabs>
      <w:spacing w:after="0" w:line="240" w:lineRule="auto"/>
    </w:pPr>
  </w:style>
  <w:style w:type="character" w:customStyle="1" w:styleId="llbChar">
    <w:name w:val="Élőláb Char"/>
    <w:basedOn w:val="Bekezdsalapbettpusa"/>
    <w:link w:val="llb"/>
    <w:uiPriority w:val="99"/>
    <w:rsid w:val="00F60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alukutatas.hu/" TargetMode="External"/><Relationship Id="rId18" Type="http://schemas.openxmlformats.org/officeDocument/2006/relationships/hyperlink" Target="https://martonaron.elte.hu/szakkollegiu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et.jogtar.hu/jogszabaly?docid=a0500088.tv" TargetMode="External"/><Relationship Id="rId17" Type="http://schemas.openxmlformats.org/officeDocument/2006/relationships/hyperlink" Target="https://eotvos.elte.hu/szakmai-munka/eredmenyek" TargetMode="External"/><Relationship Id="rId2" Type="http://schemas.openxmlformats.org/officeDocument/2006/relationships/numbering" Target="numbering.xml"/><Relationship Id="rId16" Type="http://schemas.openxmlformats.org/officeDocument/2006/relationships/hyperlink" Target="http://honlap.eotvos.elte.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facebook.com/angeluszszakkollegium/"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ngelusz.elte.hu/konferenciak"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41C02-52D9-4A19-A54E-D3FEBE84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38</Pages>
  <Words>11717</Words>
  <Characters>80851</Characters>
  <Application>Microsoft Office Word</Application>
  <DocSecurity>0</DocSecurity>
  <Lines>673</Lines>
  <Paragraphs>184</Paragraphs>
  <ScaleCrop>false</ScaleCrop>
  <HeadingPairs>
    <vt:vector size="2" baseType="variant">
      <vt:variant>
        <vt:lpstr>Cím</vt:lpstr>
      </vt:variant>
      <vt:variant>
        <vt:i4>1</vt:i4>
      </vt:variant>
    </vt:vector>
  </HeadingPairs>
  <TitlesOfParts>
    <vt:vector size="1" baseType="lpstr">
      <vt:lpstr/>
    </vt:vector>
  </TitlesOfParts>
  <Company>ELTE</Company>
  <LinksUpToDate>false</LinksUpToDate>
  <CharactersWithSpaces>92384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Kóczián Lilla Nikola</dc:creator>
  <cp:lastModifiedBy>Gácser József Ferenc</cp:lastModifiedBy>
  <cp:revision>32</cp:revision>
  <cp:lastPrinted>2021-02-26T11:59:00Z</cp:lastPrinted>
  <dcterms:created xsi:type="dcterms:W3CDTF">2021-02-26T17:19:00Z</dcterms:created>
  <dcterms:modified xsi:type="dcterms:W3CDTF">2021-03-01T10:45:00Z</dcterms:modified>
</cp:coreProperties>
</file>