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E8B64" w14:textId="77777777" w:rsidR="00521F51" w:rsidRPr="00896159" w:rsidRDefault="00521F51" w:rsidP="00521F51">
      <w:pPr>
        <w:jc w:val="center"/>
        <w:rPr>
          <w:b/>
          <w:sz w:val="24"/>
        </w:rPr>
      </w:pPr>
      <w:r w:rsidRPr="00896159">
        <w:rPr>
          <w:b/>
          <w:sz w:val="24"/>
        </w:rPr>
        <w:t xml:space="preserve">Adatlap </w:t>
      </w:r>
      <w:r>
        <w:rPr>
          <w:b/>
          <w:sz w:val="24"/>
        </w:rPr>
        <w:t>hallássérült</w:t>
      </w:r>
      <w:r w:rsidRPr="00896159">
        <w:rPr>
          <w:b/>
          <w:sz w:val="24"/>
        </w:rPr>
        <w:t xml:space="preserve"> hallgatók speciális igényeinek felmérésére</w:t>
      </w:r>
    </w:p>
    <w:p w14:paraId="07B65BEA" w14:textId="77777777" w:rsidR="00521F51" w:rsidRPr="005547AE" w:rsidRDefault="00521F51" w:rsidP="00521F51">
      <w:pPr>
        <w:spacing w:line="240" w:lineRule="auto"/>
        <w:jc w:val="both"/>
        <w:rPr>
          <w:sz w:val="20"/>
        </w:rPr>
      </w:pPr>
      <w:r w:rsidRPr="005547AE">
        <w:rPr>
          <w:sz w:val="20"/>
        </w:rPr>
        <w:t xml:space="preserve">Az adatlapot önállóan, vagy a fogyatékosügyi koordinátor segítségével kérjük kitölteni és a regisztráció alkalmával átadni a koordinátornak. Az adatokat a fogyatékosügyi koordinátorok titkosan kezelik. </w:t>
      </w:r>
    </w:p>
    <w:p w14:paraId="79F0D8BA" w14:textId="77777777" w:rsidR="00521F51" w:rsidRPr="00896159" w:rsidRDefault="00521F51" w:rsidP="00521F51">
      <w:pPr>
        <w:spacing w:line="240" w:lineRule="auto"/>
        <w:jc w:val="both"/>
        <w:rPr>
          <w:b/>
          <w:sz w:val="24"/>
        </w:rPr>
      </w:pPr>
      <w:r w:rsidRPr="00896159">
        <w:rPr>
          <w:b/>
          <w:sz w:val="24"/>
        </w:rPr>
        <w:t>I. Személyes adatok</w:t>
      </w:r>
    </w:p>
    <w:p w14:paraId="27B744AB" w14:textId="77777777" w:rsidR="00521F51" w:rsidRPr="0018222A" w:rsidRDefault="00521F51" w:rsidP="00521F51">
      <w:pPr>
        <w:spacing w:line="240" w:lineRule="auto"/>
        <w:jc w:val="both"/>
        <w:rPr>
          <w:b/>
        </w:rPr>
      </w:pPr>
      <w:r w:rsidRPr="0018222A">
        <w:rPr>
          <w:b/>
        </w:rPr>
        <w:t>Hallgató neve:</w:t>
      </w:r>
    </w:p>
    <w:p w14:paraId="3CD21995" w14:textId="77777777" w:rsidR="00521F51" w:rsidRPr="0018222A" w:rsidRDefault="00521F51" w:rsidP="00521F51">
      <w:pPr>
        <w:spacing w:line="240" w:lineRule="auto"/>
        <w:jc w:val="both"/>
        <w:rPr>
          <w:b/>
        </w:rPr>
      </w:pPr>
      <w:proofErr w:type="spellStart"/>
      <w:r w:rsidRPr="0018222A">
        <w:rPr>
          <w:b/>
        </w:rPr>
        <w:t>Neptun</w:t>
      </w:r>
      <w:proofErr w:type="spellEnd"/>
      <w:r w:rsidRPr="0018222A">
        <w:rPr>
          <w:b/>
        </w:rPr>
        <w:t xml:space="preserve"> kódja:</w:t>
      </w:r>
    </w:p>
    <w:p w14:paraId="632C2B37" w14:textId="77777777" w:rsidR="00521F51" w:rsidRPr="0018222A" w:rsidRDefault="00521F51" w:rsidP="00521F51">
      <w:pPr>
        <w:spacing w:line="240" w:lineRule="auto"/>
        <w:jc w:val="both"/>
        <w:rPr>
          <w:b/>
        </w:rPr>
      </w:pPr>
      <w:r w:rsidRPr="0018222A">
        <w:rPr>
          <w:b/>
        </w:rPr>
        <w:t xml:space="preserve">Kar, szak: </w:t>
      </w:r>
    </w:p>
    <w:p w14:paraId="3082BEC3" w14:textId="77777777" w:rsidR="00521F51" w:rsidRPr="0018222A" w:rsidRDefault="00521F51" w:rsidP="00521F51">
      <w:pPr>
        <w:spacing w:line="240" w:lineRule="auto"/>
        <w:jc w:val="both"/>
      </w:pPr>
      <w:r w:rsidRPr="0018222A">
        <w:rPr>
          <w:b/>
        </w:rPr>
        <w:t>Tagozat</w:t>
      </w:r>
      <w:r w:rsidRPr="0018222A">
        <w:t>: Nappali/Esti/Levelező</w:t>
      </w:r>
    </w:p>
    <w:p w14:paraId="22DD1A41" w14:textId="77777777" w:rsidR="00521F51" w:rsidRPr="0018222A" w:rsidRDefault="00521F51" w:rsidP="00521F51">
      <w:pPr>
        <w:spacing w:line="240" w:lineRule="auto"/>
        <w:jc w:val="both"/>
      </w:pPr>
      <w:r w:rsidRPr="0018222A">
        <w:rPr>
          <w:b/>
        </w:rPr>
        <w:t>Képzési szint:</w:t>
      </w:r>
      <w:r w:rsidRPr="0018222A">
        <w:t xml:space="preserve"> Alapképzés/Mesterképzés/Doktori képzés/Osztatlan képzés </w:t>
      </w:r>
    </w:p>
    <w:p w14:paraId="1744FA2B" w14:textId="77777777" w:rsidR="00521F51" w:rsidRPr="0018222A" w:rsidRDefault="00521F51" w:rsidP="00521F51">
      <w:pPr>
        <w:spacing w:line="240" w:lineRule="auto"/>
        <w:jc w:val="both"/>
        <w:rPr>
          <w:b/>
        </w:rPr>
      </w:pPr>
      <w:r w:rsidRPr="0018222A">
        <w:rPr>
          <w:b/>
        </w:rPr>
        <w:t xml:space="preserve">Születési hely, idő: </w:t>
      </w:r>
    </w:p>
    <w:p w14:paraId="4C3E1332" w14:textId="77777777" w:rsidR="00521F51" w:rsidRPr="0018222A" w:rsidRDefault="00521F51" w:rsidP="00521F51">
      <w:pPr>
        <w:spacing w:line="240" w:lineRule="auto"/>
        <w:jc w:val="both"/>
        <w:rPr>
          <w:b/>
        </w:rPr>
      </w:pPr>
      <w:r w:rsidRPr="0018222A">
        <w:rPr>
          <w:b/>
        </w:rPr>
        <w:t xml:space="preserve">Levelezési cím: </w:t>
      </w:r>
    </w:p>
    <w:p w14:paraId="04733B43" w14:textId="77777777" w:rsidR="00521F51" w:rsidRPr="0018222A" w:rsidRDefault="00521F51" w:rsidP="00521F51">
      <w:pPr>
        <w:spacing w:line="240" w:lineRule="auto"/>
        <w:jc w:val="both"/>
        <w:rPr>
          <w:b/>
        </w:rPr>
      </w:pPr>
      <w:r w:rsidRPr="0018222A">
        <w:rPr>
          <w:b/>
        </w:rPr>
        <w:t xml:space="preserve">Telefonszám: </w:t>
      </w:r>
    </w:p>
    <w:p w14:paraId="53B52180" w14:textId="77777777" w:rsidR="00521F51" w:rsidRPr="0018222A" w:rsidRDefault="00521F51" w:rsidP="00521F51">
      <w:pPr>
        <w:spacing w:line="240" w:lineRule="auto"/>
        <w:jc w:val="both"/>
        <w:rPr>
          <w:b/>
        </w:rPr>
      </w:pPr>
      <w:r w:rsidRPr="0018222A">
        <w:rPr>
          <w:b/>
        </w:rPr>
        <w:t xml:space="preserve">E-mail cím: </w:t>
      </w:r>
    </w:p>
    <w:p w14:paraId="66D31320" w14:textId="77777777" w:rsidR="00521F51" w:rsidRPr="0018222A" w:rsidRDefault="00521F51" w:rsidP="00521F51">
      <w:pPr>
        <w:spacing w:line="240" w:lineRule="auto"/>
        <w:jc w:val="both"/>
        <w:rPr>
          <w:b/>
        </w:rPr>
      </w:pPr>
      <w:r w:rsidRPr="0018222A">
        <w:rPr>
          <w:b/>
        </w:rPr>
        <w:t xml:space="preserve">Beiratkozás időpontja: </w:t>
      </w:r>
    </w:p>
    <w:p w14:paraId="4A91947B" w14:textId="77777777" w:rsidR="00521F51" w:rsidRPr="0018222A" w:rsidRDefault="00521F51" w:rsidP="00521F51">
      <w:pPr>
        <w:spacing w:line="240" w:lineRule="auto"/>
        <w:jc w:val="both"/>
        <w:rPr>
          <w:b/>
        </w:rPr>
      </w:pPr>
      <w:r>
        <w:rPr>
          <w:noProof/>
          <w:lang w:eastAsia="hu-HU"/>
        </w:rPr>
        <mc:AlternateContent>
          <mc:Choice Requires="wps">
            <w:drawing>
              <wp:anchor distT="0" distB="0" distL="114300" distR="114300" simplePos="0" relativeHeight="251659264" behindDoc="0" locked="0" layoutInCell="1" allowOverlap="1" wp14:anchorId="66D89796" wp14:editId="1E3C42F7">
                <wp:simplePos x="0" y="0"/>
                <wp:positionH relativeFrom="margin">
                  <wp:align>left</wp:align>
                </wp:positionH>
                <wp:positionV relativeFrom="paragraph">
                  <wp:posOffset>295192</wp:posOffset>
                </wp:positionV>
                <wp:extent cx="6562725" cy="9525"/>
                <wp:effectExtent l="19050" t="38100" r="104775" b="104775"/>
                <wp:wrapNone/>
                <wp:docPr id="1" name="Egyenes összekötő 1"/>
                <wp:cNvGraphicFramePr/>
                <a:graphic xmlns:a="http://schemas.openxmlformats.org/drawingml/2006/main">
                  <a:graphicData uri="http://schemas.microsoft.com/office/word/2010/wordprocessingShape">
                    <wps:wsp>
                      <wps:cNvCnPr/>
                      <wps:spPr>
                        <a:xfrm>
                          <a:off x="0" y="0"/>
                          <a:ext cx="6562725" cy="9525"/>
                        </a:xfrm>
                        <a:prstGeom prst="line">
                          <a:avLst/>
                        </a:prstGeom>
                        <a:ln>
                          <a:solidFill>
                            <a:schemeClr val="bg1">
                              <a:lumMod val="50000"/>
                            </a:schemeClr>
                          </a:solidFill>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57E8F3E" id="Egyenes összekötő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23.25pt" to="516.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" strokecolor="#7f7f7f [1612]">
                <v:shadow on="t" color="black" opacity="26214f" origin="-.5,-.5" offset=".74836mm,.74836mm"/>
                <w10:wrap anchorx="margin"/>
              </v:line>
            </w:pict>
          </mc:Fallback>
        </mc:AlternateContent>
      </w:r>
      <w:r w:rsidRPr="0018222A">
        <w:rPr>
          <w:b/>
        </w:rPr>
        <w:t>Regisztráció időpontja:</w:t>
      </w:r>
    </w:p>
    <w:p w14:paraId="4DFA1510" w14:textId="77777777" w:rsidR="00521F51" w:rsidRDefault="00521F51" w:rsidP="00521F51">
      <w:pPr>
        <w:spacing w:line="240" w:lineRule="auto"/>
        <w:jc w:val="both"/>
      </w:pPr>
    </w:p>
    <w:p w14:paraId="0E06F39D" w14:textId="77777777" w:rsidR="00521F51" w:rsidRPr="00896159" w:rsidRDefault="00521F51" w:rsidP="00521F51">
      <w:pPr>
        <w:spacing w:line="240" w:lineRule="auto"/>
        <w:jc w:val="both"/>
        <w:rPr>
          <w:b/>
          <w:sz w:val="24"/>
        </w:rPr>
      </w:pPr>
      <w:r w:rsidRPr="00896159">
        <w:rPr>
          <w:b/>
          <w:sz w:val="24"/>
        </w:rPr>
        <w:t>II. Fogyatékosság típusa, súlyossága (kérjük, húzza alá a megfelelő választ</w:t>
      </w:r>
      <w:r>
        <w:rPr>
          <w:b/>
          <w:sz w:val="24"/>
        </w:rPr>
        <w:t>/válaszokat</w:t>
      </w:r>
      <w:r w:rsidRPr="00896159">
        <w:rPr>
          <w:b/>
          <w:sz w:val="24"/>
        </w:rPr>
        <w:t>)</w:t>
      </w:r>
    </w:p>
    <w:p w14:paraId="3BBC779F" w14:textId="77777777" w:rsidR="00521F51" w:rsidRDefault="00521F51" w:rsidP="00521F51">
      <w:pPr>
        <w:pStyle w:val="Nincstrkz"/>
        <w:jc w:val="both"/>
      </w:pPr>
      <w:r w:rsidRPr="00896159">
        <w:rPr>
          <w:b/>
          <w:i/>
        </w:rPr>
        <w:t>Hallássérülés:</w:t>
      </w:r>
      <w:r>
        <w:t xml:space="preserve"> </w:t>
      </w:r>
    </w:p>
    <w:p w14:paraId="4845E155" w14:textId="77777777" w:rsidR="00521F51" w:rsidRDefault="00521F51" w:rsidP="00521F51">
      <w:pPr>
        <w:pStyle w:val="Nincstrkz"/>
        <w:spacing w:line="480" w:lineRule="auto"/>
        <w:jc w:val="both"/>
      </w:pPr>
      <w:r>
        <w:t>enyhefokú nagyothallás (25-40 dB)</w:t>
      </w:r>
    </w:p>
    <w:p w14:paraId="3BE25A2A" w14:textId="77777777" w:rsidR="00521F51" w:rsidRDefault="00521F51" w:rsidP="00521F51">
      <w:pPr>
        <w:pStyle w:val="Nincstrkz"/>
        <w:spacing w:line="480" w:lineRule="auto"/>
        <w:jc w:val="both"/>
      </w:pPr>
      <w:r>
        <w:t>közepes mértékű nagyothallás (40-60 dB)</w:t>
      </w:r>
    </w:p>
    <w:p w14:paraId="75A9C064" w14:textId="77777777" w:rsidR="00521F51" w:rsidRDefault="00521F51" w:rsidP="00521F51">
      <w:pPr>
        <w:pStyle w:val="Nincstrkz"/>
        <w:spacing w:line="480" w:lineRule="auto"/>
        <w:jc w:val="both"/>
      </w:pPr>
      <w:r>
        <w:t>súlyos nagyothallás (60-90 dB)</w:t>
      </w:r>
    </w:p>
    <w:p w14:paraId="0C46B2F1" w14:textId="77777777" w:rsidR="00521F51" w:rsidRDefault="00521F51" w:rsidP="00521F51">
      <w:pPr>
        <w:pStyle w:val="Nincstrkz"/>
        <w:spacing w:line="480" w:lineRule="auto"/>
        <w:jc w:val="both"/>
      </w:pPr>
      <w:r>
        <w:t>siketség (90 dB felett)</w:t>
      </w:r>
    </w:p>
    <w:p w14:paraId="0F4B8FB6" w14:textId="77777777" w:rsidR="00521F51" w:rsidRDefault="00521F51" w:rsidP="00521F51">
      <w:pPr>
        <w:pStyle w:val="Nincstrkz"/>
        <w:jc w:val="both"/>
      </w:pPr>
    </w:p>
    <w:p w14:paraId="60D4E985" w14:textId="77777777" w:rsidR="00521F51" w:rsidRDefault="00521F51" w:rsidP="00521F51">
      <w:pPr>
        <w:pStyle w:val="Nincstrkz"/>
        <w:spacing w:after="200"/>
        <w:jc w:val="both"/>
      </w:pPr>
      <w:r w:rsidRPr="005547AE">
        <w:rPr>
          <w:i/>
        </w:rPr>
        <w:t>Segédeszközök használata</w:t>
      </w:r>
      <w:r>
        <w:t xml:space="preserve">: </w:t>
      </w:r>
    </w:p>
    <w:p w14:paraId="630F7A31" w14:textId="77777777" w:rsidR="00521F51" w:rsidRDefault="00521F51" w:rsidP="00521F51">
      <w:pPr>
        <w:pStyle w:val="Nincstrkz"/>
        <w:spacing w:after="200"/>
        <w:jc w:val="both"/>
      </w:pPr>
      <w:r>
        <w:t>nem használ eszközt</w:t>
      </w:r>
    </w:p>
    <w:p w14:paraId="63CF92B3" w14:textId="77777777" w:rsidR="00521F51" w:rsidRDefault="00521F51" w:rsidP="00521F51">
      <w:pPr>
        <w:pStyle w:val="Nincstrkz"/>
        <w:spacing w:after="200"/>
        <w:jc w:val="both"/>
      </w:pPr>
      <w:r>
        <w:t>hallókészüléket használ</w:t>
      </w:r>
    </w:p>
    <w:p w14:paraId="2D3BC242" w14:textId="77777777" w:rsidR="00521F51" w:rsidRDefault="00521F51" w:rsidP="00521F51">
      <w:pPr>
        <w:pStyle w:val="Nincstrkz"/>
        <w:spacing w:after="200"/>
        <w:jc w:val="both"/>
      </w:pPr>
      <w:proofErr w:type="spellStart"/>
      <w:r>
        <w:t>cochleáris</w:t>
      </w:r>
      <w:proofErr w:type="spellEnd"/>
      <w:r>
        <w:t xml:space="preserve"> implantátumot használ</w:t>
      </w:r>
    </w:p>
    <w:p w14:paraId="689820A9" w14:textId="21CB6335" w:rsidR="00521F51" w:rsidRDefault="00521F51" w:rsidP="00521F51">
      <w:pPr>
        <w:pStyle w:val="Nincstrkz"/>
        <w:spacing w:after="200"/>
        <w:jc w:val="both"/>
      </w:pPr>
      <w:r>
        <w:t>adó-vevő készüléket használ</w:t>
      </w:r>
    </w:p>
    <w:p w14:paraId="12A9B91B" w14:textId="4ED9A443" w:rsidR="00AD44D2" w:rsidRDefault="00AD44D2" w:rsidP="00521F51">
      <w:pPr>
        <w:pStyle w:val="Nincstrkz"/>
        <w:spacing w:after="200"/>
        <w:jc w:val="both"/>
      </w:pPr>
      <w:r>
        <w:t>egyéb segédeszközt használ:</w:t>
      </w:r>
    </w:p>
    <w:p w14:paraId="2F29E690" w14:textId="77777777" w:rsidR="00521F51" w:rsidRDefault="00521F51" w:rsidP="00521F51">
      <w:pPr>
        <w:spacing w:line="240" w:lineRule="auto"/>
        <w:rPr>
          <w:b/>
          <w:sz w:val="24"/>
        </w:rPr>
      </w:pPr>
      <w:r>
        <w:rPr>
          <w:b/>
          <w:sz w:val="24"/>
        </w:rPr>
        <w:br w:type="page"/>
      </w:r>
    </w:p>
    <w:p w14:paraId="757EDCC1" w14:textId="251FBC33" w:rsidR="00521F51" w:rsidRDefault="00521F51" w:rsidP="00521F51">
      <w:pPr>
        <w:spacing w:line="240" w:lineRule="auto"/>
        <w:jc w:val="both"/>
        <w:rPr>
          <w:b/>
          <w:sz w:val="24"/>
        </w:rPr>
      </w:pPr>
      <w:r w:rsidRPr="00896159">
        <w:rPr>
          <w:b/>
          <w:sz w:val="24"/>
        </w:rPr>
        <w:lastRenderedPageBreak/>
        <w:t>III. Speciális igények</w:t>
      </w:r>
      <w:r>
        <w:rPr>
          <w:b/>
          <w:sz w:val="24"/>
        </w:rPr>
        <w:t xml:space="preserve"> </w:t>
      </w:r>
      <w:r w:rsidR="009B3682">
        <w:rPr>
          <w:b/>
          <w:sz w:val="24"/>
        </w:rPr>
        <w:t>(kérjük, jelölje meg az igényelt kedvezményeket)</w:t>
      </w:r>
    </w:p>
    <w:p w14:paraId="1EE7CC08" w14:textId="77777777" w:rsidR="00521F51" w:rsidRDefault="00521F51" w:rsidP="00521F51">
      <w:pPr>
        <w:pStyle w:val="Cmsor2"/>
        <w:spacing w:line="240" w:lineRule="auto"/>
        <w:rPr>
          <w:bCs/>
          <w:sz w:val="20"/>
          <w:szCs w:val="18"/>
        </w:rPr>
      </w:pPr>
      <w:r>
        <w:t>III./1. Tanulmányokhoz nyújtott többletsegítségek, kedvezmények</w:t>
      </w:r>
      <w:r>
        <w:rPr>
          <w:b w:val="0"/>
        </w:rPr>
        <w:t xml:space="preserve"> </w:t>
      </w:r>
      <w:r w:rsidRPr="00B4673A">
        <w:rPr>
          <w:bCs/>
          <w:sz w:val="20"/>
          <w:szCs w:val="18"/>
        </w:rPr>
        <w:t>(kérjük x-szel jelölje meg az igényelt kedvezményt)</w:t>
      </w:r>
    </w:p>
    <w:p w14:paraId="3D8B0262" w14:textId="77777777" w:rsidR="00521F51" w:rsidRPr="00A114A2" w:rsidRDefault="00521F51" w:rsidP="00521F51">
      <w:pPr>
        <w:pStyle w:val="Cmsor2"/>
        <w:spacing w:line="240" w:lineRule="auto"/>
        <w:rPr>
          <w:bCs/>
          <w:sz w:val="20"/>
          <w:szCs w:val="18"/>
        </w:rPr>
      </w:pPr>
      <w:r w:rsidRPr="00E61CE0">
        <w:t xml:space="preserve">Speciális szükségletű hallgatók részére egységesen </w:t>
      </w:r>
      <w:r>
        <w:t>adható</w:t>
      </w:r>
      <w:r w:rsidRPr="00E61CE0">
        <w:t xml:space="preserve"> kedvezmények</w:t>
      </w:r>
    </w:p>
    <w:tbl>
      <w:tblPr>
        <w:tblStyle w:val="Rcsostblzat"/>
        <w:tblW w:w="10941" w:type="dxa"/>
        <w:tblLook w:val="04A0" w:firstRow="1" w:lastRow="0" w:firstColumn="1" w:lastColumn="0" w:noHBand="0" w:noVBand="1"/>
      </w:tblPr>
      <w:tblGrid>
        <w:gridCol w:w="10506"/>
        <w:gridCol w:w="435"/>
      </w:tblGrid>
      <w:tr w:rsidR="00521F51" w14:paraId="3286D784" w14:textId="77777777" w:rsidTr="0020697B">
        <w:trPr>
          <w:trHeight w:val="407"/>
        </w:trPr>
        <w:tc>
          <w:tcPr>
            <w:tcW w:w="10506" w:type="dxa"/>
          </w:tcPr>
          <w:p w14:paraId="18E73B47" w14:textId="77777777" w:rsidR="00521F51" w:rsidRDefault="00521F51" w:rsidP="0020697B">
            <w:pPr>
              <w:jc w:val="both"/>
            </w:pPr>
            <w:r>
              <w:t>Előadások hangrögzítésének igénye.</w:t>
            </w:r>
            <w:r>
              <w:rPr>
                <w:rStyle w:val="Lbjegyzet-hivatkozs"/>
              </w:rPr>
              <w:footnoteReference w:id="1"/>
            </w:r>
          </w:p>
        </w:tc>
        <w:tc>
          <w:tcPr>
            <w:tcW w:w="435" w:type="dxa"/>
          </w:tcPr>
          <w:p w14:paraId="79D9C5D1" w14:textId="77777777" w:rsidR="00521F51" w:rsidRDefault="00521F51" w:rsidP="0020697B">
            <w:pPr>
              <w:jc w:val="both"/>
            </w:pPr>
          </w:p>
        </w:tc>
      </w:tr>
      <w:tr w:rsidR="00521F51" w14:paraId="753FE3F6" w14:textId="77777777" w:rsidTr="0020697B">
        <w:trPr>
          <w:trHeight w:val="385"/>
        </w:trPr>
        <w:tc>
          <w:tcPr>
            <w:tcW w:w="10506" w:type="dxa"/>
          </w:tcPr>
          <w:p w14:paraId="7A06AEB4" w14:textId="77777777" w:rsidR="00521F51" w:rsidRDefault="00521F51" w:rsidP="0020697B">
            <w:pPr>
              <w:jc w:val="both"/>
            </w:pPr>
            <w:r>
              <w:t>Az előadáson használt ppt-k és egyéb elektronikus tananyagok megküldésének igénye.</w:t>
            </w:r>
            <w:r>
              <w:rPr>
                <w:rStyle w:val="Lbjegyzet-hivatkozs"/>
              </w:rPr>
              <w:footnoteReference w:id="2"/>
            </w:r>
          </w:p>
        </w:tc>
        <w:tc>
          <w:tcPr>
            <w:tcW w:w="435" w:type="dxa"/>
          </w:tcPr>
          <w:p w14:paraId="6D6921BB" w14:textId="77777777" w:rsidR="00521F51" w:rsidRDefault="00521F51" w:rsidP="0020697B">
            <w:pPr>
              <w:jc w:val="both"/>
            </w:pPr>
          </w:p>
        </w:tc>
      </w:tr>
      <w:tr w:rsidR="00521F51" w14:paraId="6F0098B1" w14:textId="77777777" w:rsidTr="0020697B">
        <w:trPr>
          <w:trHeight w:val="691"/>
        </w:trPr>
        <w:tc>
          <w:tcPr>
            <w:tcW w:w="10506" w:type="dxa"/>
          </w:tcPr>
          <w:p w14:paraId="2F195D43" w14:textId="77777777" w:rsidR="00521F51" w:rsidRDefault="00521F51" w:rsidP="0020697B">
            <w:pPr>
              <w:jc w:val="both"/>
            </w:pPr>
            <w:r>
              <w:t>A nem fogyatékossággal élő hallgatókra megállapított felkészülési időnél legalább 30%-kal hosszabb felkészülési idő biztosítása.</w:t>
            </w:r>
            <w:r>
              <w:rPr>
                <w:rStyle w:val="Lbjegyzet-hivatkozs"/>
              </w:rPr>
              <w:footnoteReference w:id="3"/>
            </w:r>
          </w:p>
        </w:tc>
        <w:tc>
          <w:tcPr>
            <w:tcW w:w="435" w:type="dxa"/>
          </w:tcPr>
          <w:p w14:paraId="7B1BA7C8" w14:textId="77777777" w:rsidR="00521F51" w:rsidRDefault="00521F51" w:rsidP="0020697B">
            <w:pPr>
              <w:jc w:val="both"/>
            </w:pPr>
          </w:p>
        </w:tc>
      </w:tr>
      <w:tr w:rsidR="00521F51" w14:paraId="248949A0" w14:textId="77777777" w:rsidTr="0020697B">
        <w:trPr>
          <w:trHeight w:val="624"/>
        </w:trPr>
        <w:tc>
          <w:tcPr>
            <w:tcW w:w="10506" w:type="dxa"/>
          </w:tcPr>
          <w:p w14:paraId="04EEB404" w14:textId="77777777" w:rsidR="00521F51" w:rsidRDefault="00521F51" w:rsidP="0020697B">
            <w:pPr>
              <w:jc w:val="both"/>
            </w:pPr>
            <w:r>
              <w:t>Kurzusjelentkezés során 1000 többletpont</w:t>
            </w:r>
          </w:p>
          <w:p w14:paraId="547CBEB7" w14:textId="77777777" w:rsidR="00521F51" w:rsidRPr="00AD35FE" w:rsidRDefault="00521F51" w:rsidP="0020697B">
            <w:pPr>
              <w:spacing w:after="100" w:afterAutospacing="1"/>
              <w:jc w:val="both"/>
            </w:pPr>
            <w:r w:rsidRPr="005B6FF7">
              <w:rPr>
                <w:sz w:val="18"/>
                <w:szCs w:val="18"/>
              </w:rPr>
              <w:t>(Igénybevételéhez a második oldalon található nyilatkozat kitöltése szükséges.)</w:t>
            </w:r>
          </w:p>
        </w:tc>
        <w:tc>
          <w:tcPr>
            <w:tcW w:w="435" w:type="dxa"/>
          </w:tcPr>
          <w:p w14:paraId="50AD5456" w14:textId="77777777" w:rsidR="00521F51" w:rsidRDefault="00521F51" w:rsidP="0020697B">
            <w:pPr>
              <w:jc w:val="both"/>
            </w:pPr>
          </w:p>
        </w:tc>
      </w:tr>
    </w:tbl>
    <w:p w14:paraId="41DA458F" w14:textId="16569615" w:rsidR="00521F51" w:rsidRPr="00521F51" w:rsidRDefault="001F55F5" w:rsidP="00521F51">
      <w:pPr>
        <w:spacing w:before="480" w:after="240" w:line="240" w:lineRule="auto"/>
        <w:jc w:val="both"/>
      </w:pPr>
      <w:r>
        <w:t>A regisztrált speciális szükségletű hallgatók mentesülnek a magyar állami (rész)ösztöndíjas képzésből önköltséges képzésbe történő tanulmányi alapú átsorolás alól</w:t>
      </w:r>
      <w:r w:rsidR="00521F51" w:rsidRPr="00521F51">
        <w:rPr>
          <w:rStyle w:val="Lbjegyzet-hivatkozs"/>
        </w:rPr>
        <w:footnoteReference w:id="4"/>
      </w:r>
      <w:r w:rsidR="00521F51" w:rsidRPr="00521F51">
        <w:t>.</w:t>
      </w:r>
    </w:p>
    <w:p w14:paraId="6DAB4EE5" w14:textId="77777777" w:rsidR="00521F51" w:rsidRDefault="00521F51" w:rsidP="00521F51">
      <w:pPr>
        <w:spacing w:after="480" w:line="240" w:lineRule="auto"/>
        <w:jc w:val="both"/>
      </w:pPr>
      <w:r w:rsidRPr="00521F51">
        <w:t>A hallgató kérésére a felsőoktatási intézmény az államilag támogatott féléveinek számát legfeljebb négy félévvel megnövelheti</w:t>
      </w:r>
      <w:r w:rsidRPr="00521F51">
        <w:rPr>
          <w:rStyle w:val="Lbjegyzet-hivatkozs"/>
        </w:rPr>
        <w:footnoteReference w:id="5"/>
      </w:r>
      <w:r w:rsidRPr="00521F51">
        <w:t>.</w:t>
      </w:r>
    </w:p>
    <w:p w14:paraId="5FFEA020" w14:textId="77777777" w:rsidR="00521F51" w:rsidRPr="006C38DF" w:rsidRDefault="00521F51" w:rsidP="00AD44D2">
      <w:pPr>
        <w:spacing w:after="0"/>
        <w:jc w:val="both"/>
      </w:pPr>
      <w:r w:rsidRPr="00A114A2">
        <w:rPr>
          <w:rFonts w:eastAsiaTheme="majorEastAsia" w:cstheme="majorBidi"/>
          <w:b/>
          <w:sz w:val="24"/>
          <w:szCs w:val="26"/>
        </w:rPr>
        <w:t>Hallássérülés esetén igénybe vehető kedvezmények</w:t>
      </w:r>
    </w:p>
    <w:tbl>
      <w:tblPr>
        <w:tblStyle w:val="Rcsostblzat"/>
        <w:tblW w:w="10941" w:type="dxa"/>
        <w:tblInd w:w="-5" w:type="dxa"/>
        <w:tblLook w:val="04A0" w:firstRow="1" w:lastRow="0" w:firstColumn="1" w:lastColumn="0" w:noHBand="0" w:noVBand="1"/>
      </w:tblPr>
      <w:tblGrid>
        <w:gridCol w:w="10515"/>
        <w:gridCol w:w="426"/>
      </w:tblGrid>
      <w:tr w:rsidR="00521F51" w14:paraId="0F5BA0C5" w14:textId="77777777" w:rsidTr="0020697B">
        <w:trPr>
          <w:trHeight w:val="617"/>
        </w:trPr>
        <w:tc>
          <w:tcPr>
            <w:tcW w:w="10515" w:type="dxa"/>
          </w:tcPr>
          <w:p w14:paraId="4651CC0F" w14:textId="77777777" w:rsidR="00521F51" w:rsidRDefault="00521F51" w:rsidP="0020697B">
            <w:pPr>
              <w:jc w:val="both"/>
            </w:pPr>
            <w:r>
              <w:t>A szóbeli vizsga írásbelivel történő helyettesítése, szóbeli vizsgáztatás során – hallgatói igény esetén –</w:t>
            </w:r>
          </w:p>
          <w:p w14:paraId="4B0E2C85" w14:textId="77777777" w:rsidR="00521F51" w:rsidRDefault="00521F51" w:rsidP="0020697B">
            <w:pPr>
              <w:jc w:val="both"/>
            </w:pPr>
            <w:r>
              <w:t>jelnyelvi vagy orális tolmács biztosítása</w:t>
            </w:r>
            <w:r>
              <w:rPr>
                <w:rStyle w:val="Lbjegyzet-hivatkozs"/>
              </w:rPr>
              <w:footnoteReference w:id="6"/>
            </w:r>
          </w:p>
        </w:tc>
        <w:tc>
          <w:tcPr>
            <w:tcW w:w="426" w:type="dxa"/>
          </w:tcPr>
          <w:p w14:paraId="79CED8AF" w14:textId="77777777" w:rsidR="00521F51" w:rsidRDefault="00521F51" w:rsidP="0020697B">
            <w:pPr>
              <w:jc w:val="both"/>
            </w:pPr>
          </w:p>
        </w:tc>
      </w:tr>
      <w:tr w:rsidR="00521F51" w14:paraId="34350E76" w14:textId="77777777" w:rsidTr="0020697B">
        <w:trPr>
          <w:trHeight w:val="355"/>
        </w:trPr>
        <w:tc>
          <w:tcPr>
            <w:tcW w:w="10515" w:type="dxa"/>
          </w:tcPr>
          <w:p w14:paraId="49336E52" w14:textId="77777777" w:rsidR="00521F51" w:rsidRDefault="00521F51" w:rsidP="0020697B">
            <w:pPr>
              <w:jc w:val="both"/>
            </w:pPr>
            <w:r>
              <w:t>A</w:t>
            </w:r>
            <w:r w:rsidRPr="00287EDB">
              <w:t>z előadásokon és vizsgákon az elhangzottak egyidejű írásban való megjelenítése a hallgató részére</w:t>
            </w:r>
            <w:r>
              <w:rPr>
                <w:rStyle w:val="Lbjegyzet-hivatkozs"/>
              </w:rPr>
              <w:footnoteReference w:id="7"/>
            </w:r>
          </w:p>
        </w:tc>
        <w:tc>
          <w:tcPr>
            <w:tcW w:w="426" w:type="dxa"/>
          </w:tcPr>
          <w:p w14:paraId="551C27F0" w14:textId="77777777" w:rsidR="00521F51" w:rsidRDefault="00521F51" w:rsidP="0020697B">
            <w:pPr>
              <w:jc w:val="both"/>
            </w:pPr>
          </w:p>
        </w:tc>
      </w:tr>
      <w:tr w:rsidR="00521F51" w14:paraId="7935B1B0" w14:textId="77777777" w:rsidTr="0020697B">
        <w:trPr>
          <w:trHeight w:val="333"/>
        </w:trPr>
        <w:tc>
          <w:tcPr>
            <w:tcW w:w="10515" w:type="dxa"/>
          </w:tcPr>
          <w:p w14:paraId="72788A66" w14:textId="77777777" w:rsidR="00521F51" w:rsidRPr="00287EDB" w:rsidRDefault="00521F51" w:rsidP="0020697B">
            <w:pPr>
              <w:jc w:val="both"/>
            </w:pPr>
            <w:r>
              <w:t>Az előadások hangosítása iránti igény</w:t>
            </w:r>
          </w:p>
        </w:tc>
        <w:tc>
          <w:tcPr>
            <w:tcW w:w="426" w:type="dxa"/>
          </w:tcPr>
          <w:p w14:paraId="15625A7A" w14:textId="77777777" w:rsidR="00521F51" w:rsidRDefault="00521F51" w:rsidP="0020697B">
            <w:pPr>
              <w:jc w:val="both"/>
            </w:pPr>
          </w:p>
        </w:tc>
      </w:tr>
      <w:tr w:rsidR="00521F51" w14:paraId="1EAB0ADF" w14:textId="77777777" w:rsidTr="0020697B">
        <w:trPr>
          <w:trHeight w:val="407"/>
        </w:trPr>
        <w:tc>
          <w:tcPr>
            <w:tcW w:w="10515" w:type="dxa"/>
          </w:tcPr>
          <w:p w14:paraId="1BEEB60F" w14:textId="77777777" w:rsidR="00521F51" w:rsidRDefault="00521F51" w:rsidP="0020697B">
            <w:pPr>
              <w:jc w:val="both"/>
            </w:pPr>
            <w:r>
              <w:t>M</w:t>
            </w:r>
            <w:r w:rsidRPr="00287EDB">
              <w:t>inden vizsgáztatás alkalmával segédeszközök, vizuális szemléltetés biztosítása</w:t>
            </w:r>
            <w:r>
              <w:rPr>
                <w:rStyle w:val="Lbjegyzet-hivatkozs"/>
              </w:rPr>
              <w:footnoteReference w:id="8"/>
            </w:r>
          </w:p>
        </w:tc>
        <w:tc>
          <w:tcPr>
            <w:tcW w:w="426" w:type="dxa"/>
          </w:tcPr>
          <w:p w14:paraId="2FCB2083" w14:textId="77777777" w:rsidR="00521F51" w:rsidRDefault="00521F51" w:rsidP="0020697B">
            <w:pPr>
              <w:jc w:val="both"/>
            </w:pPr>
          </w:p>
        </w:tc>
      </w:tr>
      <w:tr w:rsidR="00521F51" w14:paraId="580E33DA" w14:textId="77777777" w:rsidTr="0020697B">
        <w:trPr>
          <w:trHeight w:val="415"/>
        </w:trPr>
        <w:tc>
          <w:tcPr>
            <w:tcW w:w="10515" w:type="dxa"/>
          </w:tcPr>
          <w:p w14:paraId="3DF508F4" w14:textId="77777777" w:rsidR="00521F51" w:rsidRDefault="00521F51" w:rsidP="0020697B">
            <w:pPr>
              <w:jc w:val="both"/>
            </w:pPr>
            <w:r>
              <w:t>Segédeszköz-kölcsönzés: laptop / tablet / diktafon / okosmikrofon / fejhallgató / hangszóró</w:t>
            </w:r>
          </w:p>
        </w:tc>
        <w:tc>
          <w:tcPr>
            <w:tcW w:w="426" w:type="dxa"/>
          </w:tcPr>
          <w:p w14:paraId="7C655F84" w14:textId="77777777" w:rsidR="00521F51" w:rsidRDefault="00521F51" w:rsidP="0020697B">
            <w:pPr>
              <w:jc w:val="both"/>
            </w:pPr>
          </w:p>
        </w:tc>
      </w:tr>
      <w:tr w:rsidR="00521F51" w14:paraId="6FD71E98" w14:textId="77777777" w:rsidTr="0020697B">
        <w:tc>
          <w:tcPr>
            <w:tcW w:w="10515" w:type="dxa"/>
          </w:tcPr>
          <w:p w14:paraId="33E8176D" w14:textId="77777777" w:rsidR="00521F51" w:rsidRDefault="00521F51" w:rsidP="0020697B">
            <w:pPr>
              <w:jc w:val="both"/>
            </w:pPr>
            <w:r>
              <w:t xml:space="preserve">Speciális Hallgatói Ügyeket Támogató Iroda </w:t>
            </w:r>
            <w:r w:rsidRPr="00782C7D">
              <w:t>egyéni gyógypedagógiai, szociális, informatikai jellegű szolgáltatásai</w:t>
            </w:r>
          </w:p>
          <w:p w14:paraId="69D77348" w14:textId="77777777" w:rsidR="00521F51" w:rsidRDefault="00446774" w:rsidP="0020697B">
            <w:pPr>
              <w:jc w:val="both"/>
            </w:pPr>
            <w:hyperlink r:id="rId8" w:history="1">
              <w:r w:rsidR="00521F51" w:rsidRPr="00463CF1">
                <w:rPr>
                  <w:rStyle w:val="Hiperhivatkozs"/>
                  <w:color w:val="0070C0"/>
                </w:rPr>
                <w:t>https://www.elte.hu/eselyegyenloseg/hallas</w:t>
              </w:r>
            </w:hyperlink>
            <w:r w:rsidR="00521F51" w:rsidRPr="00463CF1">
              <w:rPr>
                <w:color w:val="0070C0"/>
              </w:rPr>
              <w:t xml:space="preserve"> </w:t>
            </w:r>
          </w:p>
        </w:tc>
        <w:tc>
          <w:tcPr>
            <w:tcW w:w="426" w:type="dxa"/>
          </w:tcPr>
          <w:p w14:paraId="096E8453" w14:textId="77777777" w:rsidR="00521F51" w:rsidRDefault="00521F51" w:rsidP="0020697B">
            <w:pPr>
              <w:jc w:val="both"/>
            </w:pPr>
          </w:p>
        </w:tc>
      </w:tr>
    </w:tbl>
    <w:p w14:paraId="2ABDA122" w14:textId="1F1B9DBF" w:rsidR="00521F51" w:rsidRDefault="00521F51" w:rsidP="00521F51">
      <w:pPr>
        <w:jc w:val="center"/>
        <w:rPr>
          <w:b/>
          <w:sz w:val="24"/>
          <w:szCs w:val="24"/>
        </w:rPr>
      </w:pPr>
    </w:p>
    <w:p w14:paraId="18FAEA15" w14:textId="77777777" w:rsidR="00412AD8" w:rsidRDefault="00412AD8" w:rsidP="00521F51">
      <w:pPr>
        <w:jc w:val="center"/>
        <w:rPr>
          <w:b/>
          <w:sz w:val="24"/>
          <w:szCs w:val="24"/>
        </w:rPr>
      </w:pPr>
    </w:p>
    <w:p w14:paraId="38FC419C" w14:textId="77777777" w:rsidR="00AD44D2" w:rsidRPr="00A66884" w:rsidRDefault="00AD44D2" w:rsidP="00AD44D2">
      <w:pPr>
        <w:spacing w:line="240" w:lineRule="auto"/>
        <w:jc w:val="center"/>
        <w:rPr>
          <w:rFonts w:ascii="Garamond" w:eastAsia="Calibri" w:hAnsi="Garamond" w:cs="Times New Roman"/>
          <w:b/>
          <w:bCs/>
          <w:sz w:val="28"/>
          <w:szCs w:val="24"/>
        </w:rPr>
      </w:pPr>
      <w:r w:rsidRPr="00A66884">
        <w:rPr>
          <w:rFonts w:ascii="Garamond" w:eastAsia="Calibri" w:hAnsi="Garamond" w:cs="Times New Roman"/>
          <w:b/>
          <w:bCs/>
          <w:sz w:val="28"/>
          <w:szCs w:val="24"/>
        </w:rPr>
        <w:t>Nyilatkozatok</w:t>
      </w:r>
    </w:p>
    <w:p w14:paraId="406DCA66" w14:textId="77777777" w:rsidR="00AD44D2" w:rsidRPr="00A66884" w:rsidRDefault="00AD44D2" w:rsidP="00AD44D2">
      <w:pPr>
        <w:spacing w:after="0" w:line="240" w:lineRule="auto"/>
        <w:jc w:val="both"/>
        <w:rPr>
          <w:rFonts w:ascii="Garamond" w:eastAsia="Calibri" w:hAnsi="Garamond" w:cs="Times New Roman"/>
          <w:sz w:val="24"/>
          <w:szCs w:val="24"/>
        </w:rPr>
      </w:pPr>
      <w:r w:rsidRPr="00A66884">
        <w:rPr>
          <w:rFonts w:ascii="Garamond" w:eastAsia="Calibri" w:hAnsi="Garamond" w:cs="Times New Roman"/>
          <w:sz w:val="24"/>
          <w:szCs w:val="24"/>
        </w:rPr>
        <w:lastRenderedPageBreak/>
        <w:t>Alulírott:</w:t>
      </w:r>
      <w:r w:rsidRPr="00A66884">
        <w:rPr>
          <w:rFonts w:ascii="Garamond" w:eastAsia="Calibri" w:hAnsi="Garamond" w:cs="Times New Roman"/>
          <w:sz w:val="24"/>
          <w:szCs w:val="24"/>
        </w:rPr>
        <w:tab/>
        <w:t>...............................................................................</w:t>
      </w:r>
    </w:p>
    <w:p w14:paraId="4EFA84E5" w14:textId="77777777" w:rsidR="00AD44D2" w:rsidRPr="00A66884" w:rsidRDefault="00AD44D2" w:rsidP="00AD44D2">
      <w:pPr>
        <w:spacing w:after="0" w:line="240" w:lineRule="auto"/>
        <w:jc w:val="both"/>
        <w:rPr>
          <w:rFonts w:ascii="Garamond" w:eastAsia="Calibri" w:hAnsi="Garamond" w:cs="Times New Roman"/>
          <w:sz w:val="24"/>
          <w:szCs w:val="24"/>
        </w:rPr>
      </w:pPr>
      <w:proofErr w:type="spellStart"/>
      <w:r w:rsidRPr="00A66884">
        <w:rPr>
          <w:rFonts w:ascii="Garamond" w:eastAsia="Calibri" w:hAnsi="Garamond" w:cs="Times New Roman"/>
          <w:sz w:val="24"/>
          <w:szCs w:val="24"/>
        </w:rPr>
        <w:t>Neptun</w:t>
      </w:r>
      <w:proofErr w:type="spellEnd"/>
      <w:r w:rsidRPr="00A66884">
        <w:rPr>
          <w:rFonts w:ascii="Garamond" w:eastAsia="Calibri" w:hAnsi="Garamond" w:cs="Times New Roman"/>
          <w:sz w:val="24"/>
          <w:szCs w:val="24"/>
        </w:rPr>
        <w:t xml:space="preserve"> kód:</w:t>
      </w:r>
      <w:r w:rsidRPr="00A66884">
        <w:rPr>
          <w:rFonts w:ascii="Garamond" w:eastAsia="Calibri" w:hAnsi="Garamond" w:cs="Times New Roman"/>
          <w:sz w:val="24"/>
          <w:szCs w:val="24"/>
        </w:rPr>
        <w:tab/>
        <w:t>...............................................................................</w:t>
      </w:r>
    </w:p>
    <w:p w14:paraId="7BC916DC" w14:textId="77777777" w:rsidR="00AD44D2" w:rsidRPr="00A66884" w:rsidRDefault="00AD44D2" w:rsidP="00AD44D2">
      <w:pPr>
        <w:spacing w:after="0" w:line="240" w:lineRule="auto"/>
        <w:jc w:val="both"/>
        <w:rPr>
          <w:rFonts w:ascii="Garamond" w:eastAsia="Calibri" w:hAnsi="Garamond" w:cs="Times New Roman"/>
          <w:sz w:val="24"/>
          <w:szCs w:val="24"/>
        </w:rPr>
      </w:pPr>
      <w:r w:rsidRPr="00A66884">
        <w:rPr>
          <w:rFonts w:ascii="Garamond" w:eastAsia="Calibri" w:hAnsi="Garamond" w:cs="Times New Roman"/>
          <w:sz w:val="24"/>
          <w:szCs w:val="24"/>
        </w:rPr>
        <w:t>lakcím:</w:t>
      </w:r>
      <w:r w:rsidRPr="00A66884">
        <w:rPr>
          <w:rFonts w:ascii="Garamond" w:eastAsia="Calibri" w:hAnsi="Garamond" w:cs="Times New Roman"/>
          <w:sz w:val="24"/>
          <w:szCs w:val="24"/>
        </w:rPr>
        <w:tab/>
      </w:r>
      <w:r w:rsidRPr="00A66884">
        <w:rPr>
          <w:rFonts w:ascii="Garamond" w:eastAsia="Calibri" w:hAnsi="Garamond" w:cs="Times New Roman"/>
          <w:sz w:val="24"/>
          <w:szCs w:val="24"/>
        </w:rPr>
        <w:tab/>
        <w:t xml:space="preserve">............................................................................... </w:t>
      </w:r>
    </w:p>
    <w:p w14:paraId="6C7EF5AC" w14:textId="77777777" w:rsidR="00AD44D2" w:rsidRPr="00A66884" w:rsidRDefault="00AD44D2" w:rsidP="00AD44D2">
      <w:pPr>
        <w:spacing w:after="480" w:line="240" w:lineRule="auto"/>
        <w:jc w:val="both"/>
        <w:rPr>
          <w:rFonts w:ascii="Garamond" w:eastAsia="Calibri" w:hAnsi="Garamond" w:cs="Times New Roman"/>
          <w:sz w:val="24"/>
          <w:szCs w:val="24"/>
        </w:rPr>
      </w:pPr>
      <w:r w:rsidRPr="00A66884">
        <w:rPr>
          <w:rFonts w:ascii="Garamond" w:eastAsia="Calibri" w:hAnsi="Garamond" w:cs="Times New Roman"/>
          <w:sz w:val="24"/>
          <w:szCs w:val="24"/>
        </w:rPr>
        <w:t>szül. hely, idő:</w:t>
      </w:r>
      <w:r w:rsidRPr="00A66884">
        <w:rPr>
          <w:rFonts w:ascii="Garamond" w:eastAsia="Calibri" w:hAnsi="Garamond" w:cs="Times New Roman"/>
          <w:sz w:val="24"/>
          <w:szCs w:val="24"/>
        </w:rPr>
        <w:tab/>
        <w:t xml:space="preserve">............................................................................... </w:t>
      </w:r>
    </w:p>
    <w:p w14:paraId="5DA3BC25" w14:textId="77777777" w:rsidR="00AD44D2" w:rsidRPr="00A66884" w:rsidRDefault="00AD44D2" w:rsidP="00AD44D2">
      <w:pPr>
        <w:jc w:val="both"/>
        <w:rPr>
          <w:rFonts w:ascii="Garamond" w:eastAsia="Calibri" w:hAnsi="Garamond" w:cs="Times New Roman"/>
          <w:b/>
          <w:sz w:val="24"/>
          <w:szCs w:val="24"/>
        </w:rPr>
      </w:pPr>
      <w:r w:rsidRPr="00A66884">
        <w:rPr>
          <w:rFonts w:ascii="Garamond" w:eastAsia="Calibri" w:hAnsi="Garamond" w:cs="Times New Roman"/>
          <w:b/>
          <w:sz w:val="24"/>
          <w:szCs w:val="24"/>
        </w:rPr>
        <w:t xml:space="preserve">1. Nyilatkozat a kurzusfelvétel során adható többletpont iránti igényről </w:t>
      </w:r>
    </w:p>
    <w:p w14:paraId="6D75D099" w14:textId="77777777" w:rsidR="00AD44D2" w:rsidRDefault="00AD44D2" w:rsidP="00AD44D2">
      <w:pPr>
        <w:autoSpaceDE w:val="0"/>
        <w:autoSpaceDN w:val="0"/>
        <w:adjustRightInd w:val="0"/>
        <w:spacing w:line="240" w:lineRule="auto"/>
        <w:jc w:val="both"/>
        <w:rPr>
          <w:rFonts w:ascii="Garamond" w:eastAsia="Calibri" w:hAnsi="Garamond" w:cs="Times New Roman"/>
          <w:sz w:val="24"/>
          <w:szCs w:val="24"/>
        </w:rPr>
      </w:pPr>
      <w:r w:rsidRPr="00A66884">
        <w:rPr>
          <w:rFonts w:ascii="Garamond" w:eastAsia="Calibri" w:hAnsi="Garamond" w:cs="Times New Roman"/>
          <w:sz w:val="24"/>
          <w:szCs w:val="24"/>
        </w:rPr>
        <w:t xml:space="preserve">Alulírott tudomásul veszem, hogy az ELTE Szervezeti és Működési Szabályzat II. kötetét képező Hallgatói Követelményrendszer 60. § (1) </w:t>
      </w:r>
      <w:proofErr w:type="spellStart"/>
      <w:r w:rsidRPr="00A66884">
        <w:rPr>
          <w:rFonts w:ascii="Garamond" w:eastAsia="Calibri" w:hAnsi="Garamond" w:cs="Times New Roman"/>
          <w:sz w:val="24"/>
          <w:szCs w:val="24"/>
        </w:rPr>
        <w:t>bek</w:t>
      </w:r>
      <w:proofErr w:type="spellEnd"/>
      <w:r w:rsidRPr="00A66884">
        <w:rPr>
          <w:rFonts w:ascii="Garamond" w:eastAsia="Calibri" w:hAnsi="Garamond" w:cs="Times New Roman"/>
          <w:sz w:val="24"/>
          <w:szCs w:val="24"/>
        </w:rPr>
        <w:t>. k) pontja és (1a) bekezdése alapján, amennyiben a karon az adott képzési helyszínen az Elektronikus Tanulmányi Rendszerben kurzusra jelentkező hallgatók között rangsorolás történik, a rangsorolás során a fogyatékos hallgatók 1000 pontot kapnak, ha a fogyatékosügyi koordinátornál tett regisztrációjuk során ezt kifejezetten kérik.</w:t>
      </w:r>
    </w:p>
    <w:p w14:paraId="5BD072C5" w14:textId="77777777" w:rsidR="00AD44D2" w:rsidRPr="00A66884" w:rsidRDefault="00AD44D2" w:rsidP="00AD44D2">
      <w:pPr>
        <w:autoSpaceDE w:val="0"/>
        <w:autoSpaceDN w:val="0"/>
        <w:adjustRightInd w:val="0"/>
        <w:spacing w:after="0" w:line="240" w:lineRule="auto"/>
        <w:jc w:val="both"/>
        <w:rPr>
          <w:rFonts w:ascii="Garamond" w:eastAsia="Calibri" w:hAnsi="Garamond" w:cs="Times New Roman"/>
          <w:sz w:val="24"/>
          <w:szCs w:val="24"/>
        </w:rPr>
      </w:pPr>
      <w:r w:rsidRPr="00A66884">
        <w:rPr>
          <w:rFonts w:ascii="Garamond" w:eastAsia="Calibri" w:hAnsi="Garamond" w:cs="Times New Roman"/>
          <w:sz w:val="24"/>
          <w:szCs w:val="24"/>
        </w:rPr>
        <w:t xml:space="preserve">Fentiekre tekintettel nyilatkozom arról, hogy a kurzusra jelentkezéshez fűződő rangsorolási jogomat  </w:t>
      </w:r>
    </w:p>
    <w:p w14:paraId="66CFCCB3" w14:textId="77777777" w:rsidR="00AD44D2" w:rsidRPr="00A66884" w:rsidRDefault="00AD44D2" w:rsidP="00AD44D2">
      <w:pPr>
        <w:numPr>
          <w:ilvl w:val="0"/>
          <w:numId w:val="12"/>
        </w:numPr>
        <w:spacing w:after="0" w:line="240" w:lineRule="auto"/>
        <w:contextualSpacing/>
        <w:jc w:val="both"/>
        <w:rPr>
          <w:rFonts w:ascii="Garamond" w:eastAsia="Calibri" w:hAnsi="Garamond" w:cs="Times New Roman"/>
          <w:sz w:val="24"/>
          <w:szCs w:val="24"/>
        </w:rPr>
      </w:pPr>
      <w:r w:rsidRPr="00A66884">
        <w:rPr>
          <w:rFonts w:ascii="Garamond" w:eastAsia="Calibri" w:hAnsi="Garamond" w:cs="Times New Roman"/>
          <w:b/>
          <w:sz w:val="24"/>
          <w:szCs w:val="24"/>
        </w:rPr>
        <w:t xml:space="preserve">érvényesíteni </w:t>
      </w:r>
      <w:r w:rsidRPr="00A66884">
        <w:rPr>
          <w:rFonts w:ascii="Garamond" w:eastAsia="Calibri" w:hAnsi="Garamond" w:cs="Times New Roman"/>
          <w:bCs/>
          <w:sz w:val="24"/>
          <w:szCs w:val="24"/>
        </w:rPr>
        <w:t>kívánom</w:t>
      </w:r>
    </w:p>
    <w:p w14:paraId="4CECE6C3" w14:textId="77777777" w:rsidR="00AD44D2" w:rsidRPr="00A66884" w:rsidRDefault="00AD44D2" w:rsidP="00AD44D2">
      <w:pPr>
        <w:numPr>
          <w:ilvl w:val="0"/>
          <w:numId w:val="12"/>
        </w:numPr>
        <w:spacing w:after="0" w:line="240" w:lineRule="auto"/>
        <w:ind w:left="714" w:hanging="357"/>
        <w:contextualSpacing/>
        <w:jc w:val="both"/>
        <w:rPr>
          <w:rFonts w:ascii="Garamond" w:eastAsia="Calibri" w:hAnsi="Garamond" w:cs="Times New Roman"/>
          <w:sz w:val="24"/>
          <w:szCs w:val="24"/>
        </w:rPr>
      </w:pPr>
      <w:r w:rsidRPr="00A66884">
        <w:rPr>
          <w:rFonts w:ascii="Garamond" w:eastAsia="Calibri" w:hAnsi="Garamond" w:cs="Times New Roman"/>
          <w:b/>
          <w:sz w:val="24"/>
          <w:szCs w:val="24"/>
        </w:rPr>
        <w:t xml:space="preserve">nem </w:t>
      </w:r>
      <w:r w:rsidRPr="00A66884">
        <w:rPr>
          <w:rFonts w:ascii="Garamond" w:eastAsia="Calibri" w:hAnsi="Garamond" w:cs="Times New Roman"/>
          <w:bCs/>
          <w:sz w:val="24"/>
          <w:szCs w:val="24"/>
        </w:rPr>
        <w:t>kívánom</w:t>
      </w:r>
      <w:r w:rsidRPr="00A66884">
        <w:rPr>
          <w:rFonts w:ascii="Garamond" w:eastAsia="Calibri" w:hAnsi="Garamond" w:cs="Times New Roman"/>
          <w:b/>
          <w:sz w:val="24"/>
          <w:szCs w:val="24"/>
        </w:rPr>
        <w:t xml:space="preserve"> érvényesíteni </w:t>
      </w:r>
    </w:p>
    <w:p w14:paraId="375DAAB8" w14:textId="77777777" w:rsidR="00AD44D2" w:rsidRPr="00A66884" w:rsidRDefault="00AD44D2" w:rsidP="00AD44D2">
      <w:pPr>
        <w:spacing w:before="480"/>
        <w:jc w:val="both"/>
        <w:rPr>
          <w:rFonts w:ascii="Garamond" w:eastAsia="Calibri" w:hAnsi="Garamond" w:cs="Times New Roman"/>
          <w:b/>
          <w:sz w:val="24"/>
          <w:szCs w:val="24"/>
        </w:rPr>
      </w:pPr>
      <w:r w:rsidRPr="00A66884">
        <w:rPr>
          <w:rFonts w:ascii="Garamond" w:eastAsia="Calibri" w:hAnsi="Garamond" w:cs="Times New Roman"/>
          <w:b/>
          <w:sz w:val="24"/>
          <w:szCs w:val="24"/>
        </w:rPr>
        <w:t>2. Nyilatk</w:t>
      </w:r>
      <w:bookmarkStart w:id="0" w:name="_GoBack"/>
      <w:bookmarkEnd w:id="0"/>
      <w:r w:rsidRPr="00A66884">
        <w:rPr>
          <w:rFonts w:ascii="Garamond" w:eastAsia="Calibri" w:hAnsi="Garamond" w:cs="Times New Roman"/>
          <w:b/>
          <w:sz w:val="24"/>
          <w:szCs w:val="24"/>
        </w:rPr>
        <w:t xml:space="preserve">ozat a különleges személyes adatok kezeléséről  </w:t>
      </w:r>
    </w:p>
    <w:p w14:paraId="1F6B338E" w14:textId="77777777" w:rsidR="00AD44D2" w:rsidRPr="00A66884" w:rsidRDefault="00AD44D2" w:rsidP="00AD44D2">
      <w:pPr>
        <w:spacing w:line="240" w:lineRule="auto"/>
        <w:jc w:val="both"/>
        <w:rPr>
          <w:rFonts w:ascii="Garamond" w:eastAsia="Calibri" w:hAnsi="Garamond" w:cs="Times New Roman"/>
          <w:b/>
          <w:sz w:val="24"/>
          <w:szCs w:val="24"/>
        </w:rPr>
      </w:pPr>
      <w:r w:rsidRPr="00A66884">
        <w:rPr>
          <w:rFonts w:ascii="Garamond" w:eastAsia="Calibri" w:hAnsi="Garamond" w:cs="Times New Roman"/>
          <w:sz w:val="24"/>
          <w:szCs w:val="24"/>
        </w:rPr>
        <w:t xml:space="preserve">Alulírott mint adatkezeléssel érintett fogyatékossággal élő hallgató (a továbbiakban </w:t>
      </w:r>
      <w:r w:rsidRPr="00A66884">
        <w:rPr>
          <w:rFonts w:ascii="Garamond" w:eastAsia="Calibri" w:hAnsi="Garamond" w:cs="Times New Roman"/>
          <w:b/>
          <w:sz w:val="24"/>
          <w:szCs w:val="24"/>
        </w:rPr>
        <w:t>érintett</w:t>
      </w:r>
      <w:r w:rsidRPr="00A66884">
        <w:rPr>
          <w:rFonts w:ascii="Garamond" w:eastAsia="Calibri" w:hAnsi="Garamond" w:cs="Times New Roman"/>
          <w:sz w:val="24"/>
          <w:szCs w:val="24"/>
        </w:rPr>
        <w:t xml:space="preserve">) </w:t>
      </w:r>
      <w:r w:rsidRPr="00A66884">
        <w:rPr>
          <w:rFonts w:ascii="Garamond" w:eastAsia="Calibri" w:hAnsi="Garamond" w:cs="Times New Roman"/>
          <w:b/>
          <w:sz w:val="24"/>
          <w:szCs w:val="24"/>
        </w:rPr>
        <w:t xml:space="preserve">kijelentem, hogy a </w:t>
      </w:r>
      <w:hyperlink r:id="rId9" w:history="1">
        <w:r w:rsidRPr="00A66884">
          <w:rPr>
            <w:rFonts w:ascii="Garamond" w:eastAsia="Calibri" w:hAnsi="Garamond" w:cs="Times New Roman"/>
            <w:b/>
            <w:color w:val="006600"/>
            <w:sz w:val="24"/>
            <w:szCs w:val="24"/>
            <w:u w:val="single"/>
          </w:rPr>
          <w:t>https://adatvedelem.elte.hu/tajekoztatok-sablonok</w:t>
        </w:r>
      </w:hyperlink>
      <w:r w:rsidRPr="00A66884">
        <w:rPr>
          <w:rFonts w:ascii="Garamond" w:eastAsia="Calibri" w:hAnsi="Garamond" w:cs="Times New Roman"/>
          <w:b/>
          <w:sz w:val="24"/>
          <w:szCs w:val="24"/>
        </w:rPr>
        <w:t xml:space="preserve"> oldalon elérhető „Adatvédelmi tájékoztató hallgatói jogviszonyhoz” elnevezésű dokumentum tartalmát a részemre átadott regisztrációs lapon szereplő személyes adatok kezelésére vonatkozóan megismertem, tudomásul vettem és jelen nyilatkozatomat a tájékoztató ismeretében teszem meg. </w:t>
      </w:r>
    </w:p>
    <w:p w14:paraId="6EA598D6" w14:textId="77777777" w:rsidR="00AD44D2" w:rsidRPr="00A66884" w:rsidRDefault="00AD44D2" w:rsidP="00AD44D2">
      <w:pPr>
        <w:spacing w:after="0" w:line="240" w:lineRule="auto"/>
        <w:jc w:val="both"/>
        <w:rPr>
          <w:rFonts w:ascii="Garamond" w:eastAsia="Calibri" w:hAnsi="Garamond" w:cs="Times New Roman"/>
          <w:b/>
          <w:sz w:val="24"/>
          <w:szCs w:val="24"/>
        </w:rPr>
      </w:pPr>
      <w:r w:rsidRPr="00A66884">
        <w:rPr>
          <w:rFonts w:ascii="Garamond" w:eastAsia="Calibri" w:hAnsi="Garamond" w:cs="Times New Roman"/>
          <w:b/>
          <w:sz w:val="24"/>
          <w:szCs w:val="24"/>
        </w:rPr>
        <w:t xml:space="preserve">Erre tekintettel jelen nyilatkozat aláírásával kifejezetten </w:t>
      </w:r>
    </w:p>
    <w:p w14:paraId="61E54A2B" w14:textId="77777777" w:rsidR="00AD44D2" w:rsidRPr="00A66884" w:rsidRDefault="00AD44D2" w:rsidP="00AD44D2">
      <w:pPr>
        <w:numPr>
          <w:ilvl w:val="0"/>
          <w:numId w:val="12"/>
        </w:numPr>
        <w:spacing w:after="0" w:line="240" w:lineRule="auto"/>
        <w:contextualSpacing/>
        <w:jc w:val="both"/>
        <w:rPr>
          <w:rFonts w:ascii="Garamond" w:eastAsia="Calibri" w:hAnsi="Garamond" w:cs="Times New Roman"/>
          <w:sz w:val="24"/>
          <w:szCs w:val="24"/>
        </w:rPr>
      </w:pPr>
      <w:r w:rsidRPr="00A66884">
        <w:rPr>
          <w:rFonts w:ascii="Garamond" w:eastAsia="Calibri" w:hAnsi="Garamond" w:cs="Times New Roman"/>
          <w:b/>
          <w:sz w:val="24"/>
          <w:szCs w:val="24"/>
        </w:rPr>
        <w:t xml:space="preserve">hozzájárulok ahhoz, </w:t>
      </w:r>
      <w:r w:rsidRPr="00A66884">
        <w:rPr>
          <w:rFonts w:ascii="Garamond" w:eastAsia="Calibri" w:hAnsi="Garamond" w:cs="Times New Roman"/>
          <w:sz w:val="24"/>
          <w:szCs w:val="24"/>
        </w:rPr>
        <w:t>hogy az adatkezelő a speciális szükségletemre vonatkozó, a jelen regisztráció során általam bejelentett információkat, továbbá az annak alátámasztásául általam csatolt dokumentumokat és az ezekben foglalt személyes és különleges személyes adataimat speciális igényeim felmérése, és speciális igényeim biztosítása céljából kezelje</w:t>
      </w:r>
    </w:p>
    <w:p w14:paraId="345B3A59" w14:textId="77777777" w:rsidR="00AD44D2" w:rsidRPr="00A66884" w:rsidRDefault="00AD44D2" w:rsidP="00AD44D2">
      <w:pPr>
        <w:numPr>
          <w:ilvl w:val="0"/>
          <w:numId w:val="12"/>
        </w:numPr>
        <w:spacing w:after="0" w:line="240" w:lineRule="auto"/>
        <w:ind w:left="714" w:hanging="357"/>
        <w:contextualSpacing/>
        <w:jc w:val="both"/>
        <w:rPr>
          <w:rFonts w:ascii="Garamond" w:eastAsia="Calibri" w:hAnsi="Garamond" w:cs="Times New Roman"/>
          <w:sz w:val="24"/>
          <w:szCs w:val="24"/>
        </w:rPr>
      </w:pPr>
      <w:r w:rsidRPr="00A66884">
        <w:rPr>
          <w:rFonts w:ascii="Garamond" w:eastAsia="Calibri" w:hAnsi="Garamond" w:cs="Times New Roman"/>
          <w:b/>
          <w:sz w:val="24"/>
          <w:szCs w:val="24"/>
        </w:rPr>
        <w:t xml:space="preserve">nem járulok hozzá ahhoz, </w:t>
      </w:r>
      <w:r w:rsidRPr="00A66884">
        <w:rPr>
          <w:rFonts w:ascii="Garamond" w:eastAsia="Calibri" w:hAnsi="Garamond" w:cs="Times New Roman"/>
          <w:sz w:val="24"/>
          <w:szCs w:val="24"/>
        </w:rPr>
        <w:t>hogy az adatkezelő a speciális szükségletemre vonatkozó, a jelen regisztráció során általam bejelentett információkat, továbbá az annak alátámasztásául általam csatolt dokumentumokat és az ezekben foglalt személyes és különleges személyes adataimat speciális igényeim felmérése, és speciális igényeim biztosítása céljából kezelje.</w:t>
      </w:r>
    </w:p>
    <w:p w14:paraId="2ADA434C" w14:textId="77777777" w:rsidR="00AD44D2" w:rsidRPr="00A66884" w:rsidRDefault="00AD44D2" w:rsidP="00AD44D2">
      <w:pPr>
        <w:spacing w:before="840" w:after="0" w:line="360" w:lineRule="auto"/>
        <w:jc w:val="center"/>
        <w:rPr>
          <w:rFonts w:ascii="Garamond" w:eastAsia="Calibri" w:hAnsi="Garamond" w:cs="Times New Roman"/>
          <w:sz w:val="24"/>
          <w:szCs w:val="24"/>
        </w:rPr>
      </w:pPr>
      <w:r w:rsidRPr="00A66884">
        <w:rPr>
          <w:rFonts w:ascii="Garamond" w:eastAsia="Calibri" w:hAnsi="Garamond" w:cs="Times New Roman"/>
          <w:sz w:val="24"/>
          <w:szCs w:val="24"/>
        </w:rPr>
        <w:t>……………………………                                                            ……………………………</w:t>
      </w:r>
    </w:p>
    <w:p w14:paraId="125481B8" w14:textId="5AA13B86" w:rsidR="00AD44D2" w:rsidRDefault="00AD44D2" w:rsidP="00AD44D2">
      <w:pPr>
        <w:spacing w:after="0" w:line="240" w:lineRule="auto"/>
        <w:jc w:val="center"/>
        <w:rPr>
          <w:rFonts w:ascii="Garamond" w:eastAsia="Calibri" w:hAnsi="Garamond" w:cs="Times New Roman"/>
          <w:sz w:val="24"/>
          <w:szCs w:val="24"/>
        </w:rPr>
      </w:pPr>
      <w:r w:rsidRPr="00A66884">
        <w:rPr>
          <w:rFonts w:ascii="Garamond" w:eastAsia="Calibri" w:hAnsi="Garamond" w:cs="Times New Roman"/>
          <w:sz w:val="24"/>
          <w:szCs w:val="24"/>
        </w:rPr>
        <w:t>dátum</w:t>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t>aláírás</w:t>
      </w:r>
    </w:p>
    <w:p w14:paraId="30C126BE" w14:textId="3B93D85B" w:rsidR="00521F51" w:rsidRDefault="00521F51" w:rsidP="00521F51">
      <w:pPr>
        <w:spacing w:before="240"/>
        <w:jc w:val="both"/>
      </w:pPr>
    </w:p>
    <w:p w14:paraId="31DFF1AD" w14:textId="774752C9" w:rsidR="00AD44D2" w:rsidRDefault="00AD44D2" w:rsidP="00521F51">
      <w:pPr>
        <w:spacing w:before="240"/>
        <w:jc w:val="both"/>
      </w:pPr>
    </w:p>
    <w:p w14:paraId="063FDA2A" w14:textId="76755B58" w:rsidR="00AD44D2" w:rsidRDefault="00AD44D2" w:rsidP="00521F51">
      <w:pPr>
        <w:spacing w:before="240"/>
        <w:jc w:val="both"/>
      </w:pPr>
    </w:p>
    <w:p w14:paraId="0F3E2CBE" w14:textId="5F472C8B" w:rsidR="00AD44D2" w:rsidRDefault="00AD44D2" w:rsidP="00521F51">
      <w:pPr>
        <w:spacing w:before="240"/>
        <w:jc w:val="both"/>
      </w:pPr>
    </w:p>
    <w:p w14:paraId="4884C130" w14:textId="77777777" w:rsidR="00AD44D2" w:rsidRDefault="00AD44D2" w:rsidP="00521F51">
      <w:pPr>
        <w:spacing w:before="240"/>
        <w:jc w:val="both"/>
      </w:pPr>
    </w:p>
    <w:p w14:paraId="7CF80E6D" w14:textId="27F42F79" w:rsidR="00521F51" w:rsidRDefault="00521F51" w:rsidP="00521F51">
      <w:pPr>
        <w:spacing w:before="240"/>
        <w:jc w:val="both"/>
        <w:rPr>
          <w:b/>
          <w:sz w:val="24"/>
        </w:rPr>
      </w:pPr>
      <w:r w:rsidRPr="0075703C">
        <w:rPr>
          <w:b/>
          <w:sz w:val="24"/>
        </w:rPr>
        <w:t>III./2. Speciális Szolgáltatások (Speciális Hallgatói Ügyeket Támogató Iroda – SHÜTI)</w:t>
      </w:r>
      <w:r>
        <w:rPr>
          <w:b/>
          <w:sz w:val="24"/>
        </w:rPr>
        <w:t xml:space="preserve"> </w:t>
      </w:r>
    </w:p>
    <w:p w14:paraId="534E6FC5" w14:textId="77777777" w:rsidR="00521F51" w:rsidRPr="006C38DF" w:rsidRDefault="00521F51" w:rsidP="00521F51">
      <w:pPr>
        <w:jc w:val="both"/>
        <w:rPr>
          <w:rFonts w:cstheme="minorHAnsi"/>
          <w:b/>
          <w:i/>
        </w:rPr>
      </w:pPr>
      <w:r w:rsidRPr="006C38DF">
        <w:rPr>
          <w:rFonts w:cstheme="minorHAnsi"/>
          <w:b/>
          <w:i/>
        </w:rPr>
        <w:t>A Speciális Hallgatói Ügyeket Támogató Iroda szolgáltatásai iránti igényt a SHÜTI kollégáinál lehet jelezni a megadott elérhetőségeken. A szolgáltatásokról a mellékelt ismertetőben, illetve a honlapon tájékozódhat.</w:t>
      </w:r>
    </w:p>
    <w:p w14:paraId="0322C24B" w14:textId="77777777" w:rsidR="00521F51" w:rsidRPr="00463CF1" w:rsidRDefault="00446774" w:rsidP="00521F51">
      <w:pPr>
        <w:shd w:val="clear" w:color="auto" w:fill="FFFFFF"/>
        <w:spacing w:before="300" w:after="300" w:line="240" w:lineRule="auto"/>
        <w:rPr>
          <w:rFonts w:cstheme="minorHAnsi"/>
          <w:color w:val="0070C0"/>
        </w:rPr>
      </w:pPr>
      <w:hyperlink r:id="rId10" w:history="1">
        <w:r w:rsidR="00521F51" w:rsidRPr="00463CF1">
          <w:rPr>
            <w:rStyle w:val="Hiperhivatkozs"/>
            <w:rFonts w:cstheme="minorHAnsi"/>
            <w:color w:val="0070C0"/>
          </w:rPr>
          <w:t>https://www.elte.hu/eselyegyenloseg</w:t>
        </w:r>
      </w:hyperlink>
      <w:r w:rsidR="00521F51" w:rsidRPr="00463CF1">
        <w:rPr>
          <w:rFonts w:cstheme="minorHAnsi"/>
          <w:color w:val="0070C0"/>
        </w:rPr>
        <w:t xml:space="preserve"> </w:t>
      </w:r>
    </w:p>
    <w:p w14:paraId="67847609" w14:textId="77777777" w:rsidR="00521F51" w:rsidRPr="00463CF1" w:rsidRDefault="00446774" w:rsidP="00521F51">
      <w:pPr>
        <w:shd w:val="clear" w:color="auto" w:fill="FFFFFF"/>
        <w:spacing w:before="300" w:after="300" w:line="240" w:lineRule="auto"/>
        <w:rPr>
          <w:rFonts w:cstheme="minorHAnsi"/>
          <w:color w:val="0070C0"/>
        </w:rPr>
      </w:pPr>
      <w:hyperlink r:id="rId11" w:history="1">
        <w:r w:rsidR="00521F51" w:rsidRPr="00463CF1">
          <w:rPr>
            <w:rStyle w:val="Hiperhivatkozs"/>
            <w:rFonts w:cstheme="minorHAnsi"/>
            <w:color w:val="0070C0"/>
          </w:rPr>
          <w:t>https://www.elte.hu/eselyegyenloseg/hallas</w:t>
        </w:r>
      </w:hyperlink>
    </w:p>
    <w:p w14:paraId="5FB1195A" w14:textId="25D4B6E7" w:rsidR="00521F51" w:rsidRPr="006C38DF" w:rsidRDefault="00521F51" w:rsidP="00521F51">
      <w:pPr>
        <w:shd w:val="clear" w:color="auto" w:fill="FFFFFF"/>
        <w:spacing w:before="300" w:after="300" w:line="240" w:lineRule="auto"/>
        <w:rPr>
          <w:rFonts w:cstheme="minorHAnsi"/>
        </w:rPr>
      </w:pPr>
      <w:r w:rsidRPr="006C38DF">
        <w:rPr>
          <w:rFonts w:cstheme="minorHAnsi"/>
          <w:b/>
          <w:bCs/>
        </w:rPr>
        <w:t>Szepesi Magdolna</w:t>
      </w:r>
      <w:r w:rsidRPr="006C38DF">
        <w:rPr>
          <w:rFonts w:cstheme="minorHAnsi"/>
        </w:rPr>
        <w:t>, gyógypedagógus, logopédia-hallássérültek pedagógiája szakirány</w:t>
      </w:r>
      <w:r w:rsidR="00AD44D2">
        <w:rPr>
          <w:rFonts w:cstheme="minorHAnsi"/>
        </w:rPr>
        <w:t>, művészetterapeuta</w:t>
      </w:r>
    </w:p>
    <w:p w14:paraId="2826799F" w14:textId="77777777" w:rsidR="00521F51" w:rsidRPr="006C38DF" w:rsidRDefault="00521F51" w:rsidP="00521F51">
      <w:pPr>
        <w:shd w:val="clear" w:color="auto" w:fill="FFFFFF"/>
        <w:spacing w:before="300" w:after="300" w:line="240" w:lineRule="auto"/>
        <w:rPr>
          <w:rFonts w:cstheme="minorHAnsi"/>
        </w:rPr>
      </w:pPr>
      <w:r w:rsidRPr="006C38DF">
        <w:rPr>
          <w:rFonts w:cstheme="minorHAnsi"/>
        </w:rPr>
        <w:t>Cím: ELTE BTK, 1088 Budapest, Múzeum krt. 4/A, alagsor 125.</w:t>
      </w:r>
      <w:r w:rsidRPr="006C38DF">
        <w:rPr>
          <w:rFonts w:cstheme="minorHAnsi"/>
        </w:rPr>
        <w:br/>
        <w:t>Mobil: (36) 30-315-7624</w:t>
      </w:r>
      <w:r w:rsidRPr="006C38DF">
        <w:rPr>
          <w:rFonts w:cstheme="minorHAnsi"/>
        </w:rPr>
        <w:br/>
        <w:t>E-mail: </w:t>
      </w:r>
      <w:hyperlink r:id="rId12" w:history="1">
        <w:r w:rsidRPr="00463CF1">
          <w:rPr>
            <w:rStyle w:val="Hiperhivatkozs"/>
            <w:rFonts w:cstheme="minorHAnsi"/>
            <w:b/>
            <w:bCs/>
            <w:color w:val="0070C0"/>
          </w:rPr>
          <w:t>szepesi.magdolna@kancellaria.elte.hu</w:t>
        </w:r>
      </w:hyperlink>
    </w:p>
    <w:p w14:paraId="6714A020" w14:textId="77777777" w:rsidR="00521F51" w:rsidRPr="006C38DF" w:rsidRDefault="00521F51" w:rsidP="00521F51">
      <w:pPr>
        <w:rPr>
          <w:rFonts w:cstheme="minorHAnsi"/>
          <w:b/>
        </w:rPr>
      </w:pPr>
    </w:p>
    <w:p w14:paraId="1D4FE3E3" w14:textId="77777777" w:rsidR="00521F51" w:rsidRPr="00463CF1" w:rsidRDefault="00521F51" w:rsidP="00521F51">
      <w:pPr>
        <w:rPr>
          <w:rFonts w:cstheme="minorHAnsi"/>
          <w:b/>
          <w:sz w:val="24"/>
        </w:rPr>
      </w:pPr>
      <w:r w:rsidRPr="00463CF1">
        <w:rPr>
          <w:rFonts w:cstheme="minorHAnsi"/>
          <w:b/>
          <w:sz w:val="24"/>
        </w:rPr>
        <w:t xml:space="preserve">Szolgáltatások </w:t>
      </w:r>
      <w:r w:rsidRPr="00463CF1">
        <w:rPr>
          <w:rFonts w:cstheme="minorHAnsi"/>
          <w:b/>
          <w:i/>
          <w:sz w:val="24"/>
        </w:rPr>
        <w:t>hallássérült</w:t>
      </w:r>
      <w:r w:rsidRPr="00463CF1">
        <w:rPr>
          <w:rFonts w:cstheme="minorHAnsi"/>
          <w:b/>
          <w:sz w:val="24"/>
        </w:rPr>
        <w:t xml:space="preserve"> hallgatók részére</w:t>
      </w:r>
    </w:p>
    <w:p w14:paraId="1CE64366" w14:textId="77777777" w:rsidR="00521F51" w:rsidRPr="00AD44D2" w:rsidRDefault="00521F51" w:rsidP="00AD44D2">
      <w:pPr>
        <w:spacing w:before="120" w:after="280" w:line="259" w:lineRule="auto"/>
        <w:jc w:val="both"/>
        <w:rPr>
          <w:rFonts w:cstheme="minorHAnsi"/>
          <w:b/>
          <w:sz w:val="24"/>
          <w:szCs w:val="24"/>
        </w:rPr>
      </w:pPr>
      <w:r w:rsidRPr="00AD44D2">
        <w:rPr>
          <w:rFonts w:cstheme="minorHAnsi"/>
          <w:b/>
          <w:sz w:val="24"/>
          <w:szCs w:val="24"/>
        </w:rPr>
        <w:t xml:space="preserve">Jegyzetelő </w:t>
      </w:r>
    </w:p>
    <w:p w14:paraId="48B461EB" w14:textId="77777777" w:rsidR="00521F51" w:rsidRPr="006C38DF" w:rsidRDefault="00521F51" w:rsidP="00521F51">
      <w:pPr>
        <w:shd w:val="clear" w:color="auto" w:fill="FFFFFF"/>
        <w:spacing w:after="0" w:line="240" w:lineRule="auto"/>
        <w:jc w:val="both"/>
        <w:rPr>
          <w:rFonts w:eastAsia="Times New Roman" w:cstheme="minorHAnsi"/>
          <w:color w:val="000000"/>
          <w:lang w:eastAsia="hu-HU"/>
        </w:rPr>
      </w:pPr>
    </w:p>
    <w:p w14:paraId="4B1D413F" w14:textId="77777777" w:rsidR="00521F51" w:rsidRPr="00FE5DE4" w:rsidRDefault="00521F51" w:rsidP="00521F51">
      <w:pPr>
        <w:shd w:val="clear" w:color="auto" w:fill="FFFFFF"/>
        <w:spacing w:after="0" w:line="240" w:lineRule="auto"/>
        <w:jc w:val="both"/>
        <w:rPr>
          <w:rFonts w:eastAsia="Times New Roman" w:cstheme="minorHAnsi"/>
          <w:color w:val="000000"/>
          <w:u w:val="single"/>
          <w:lang w:eastAsia="hu-HU"/>
        </w:rPr>
      </w:pPr>
      <w:r w:rsidRPr="00FE5DE4">
        <w:rPr>
          <w:rFonts w:eastAsia="Times New Roman" w:cstheme="minorHAnsi"/>
          <w:color w:val="000000"/>
          <w:lang w:eastAsia="hu-HU"/>
        </w:rPr>
        <w:t xml:space="preserve">Az órai jegyzeteléshez </w:t>
      </w:r>
      <w:r w:rsidRPr="006C38DF">
        <w:rPr>
          <w:rFonts w:eastAsia="Times New Roman" w:cstheme="minorHAnsi"/>
          <w:color w:val="000000"/>
          <w:lang w:eastAsia="hu-HU"/>
        </w:rPr>
        <w:t xml:space="preserve">lehetőség van </w:t>
      </w:r>
      <w:r w:rsidRPr="00FE5DE4">
        <w:rPr>
          <w:rFonts w:eastAsia="Times New Roman" w:cstheme="minorHAnsi"/>
          <w:color w:val="000000"/>
          <w:lang w:eastAsia="hu-HU"/>
        </w:rPr>
        <w:t>személyi segítő</w:t>
      </w:r>
      <w:r w:rsidRPr="006C38DF">
        <w:rPr>
          <w:rFonts w:eastAsia="Times New Roman" w:cstheme="minorHAnsi"/>
          <w:color w:val="000000"/>
          <w:lang w:eastAsia="hu-HU"/>
        </w:rPr>
        <w:t xml:space="preserve"> igénylésére.</w:t>
      </w:r>
      <w:r w:rsidRPr="00FE5DE4">
        <w:rPr>
          <w:rFonts w:eastAsia="Times New Roman" w:cstheme="minorHAnsi"/>
          <w:color w:val="000000"/>
          <w:lang w:eastAsia="hu-HU"/>
        </w:rPr>
        <w:t xml:space="preserve"> A jegyzetelők fizetett, és kiképzett személyi segítők.</w:t>
      </w:r>
      <w:r w:rsidRPr="006C38DF">
        <w:rPr>
          <w:rFonts w:eastAsia="Times New Roman" w:cstheme="minorHAnsi"/>
          <w:color w:val="000000"/>
          <w:lang w:eastAsia="hu-HU"/>
        </w:rPr>
        <w:t xml:space="preserve"> </w:t>
      </w:r>
      <w:r w:rsidRPr="006C38DF">
        <w:rPr>
          <w:rFonts w:eastAsia="Times New Roman" w:cstheme="minorHAnsi"/>
          <w:color w:val="000000"/>
          <w:u w:val="single"/>
          <w:lang w:eastAsia="hu-HU"/>
        </w:rPr>
        <w:t>Fontos, hogy csak abban az esetben tudjuk biztosítani ezt a szolgáltatást, ha találunk jelentkezőt a feladatra.</w:t>
      </w:r>
    </w:p>
    <w:p w14:paraId="3C5CF5AA" w14:textId="77777777" w:rsidR="00521F51" w:rsidRPr="006C38DF" w:rsidRDefault="00521F51" w:rsidP="00521F51">
      <w:pPr>
        <w:shd w:val="clear" w:color="auto" w:fill="FFFFFF"/>
        <w:spacing w:before="300" w:after="300" w:line="240" w:lineRule="auto"/>
        <w:jc w:val="both"/>
        <w:rPr>
          <w:rFonts w:eastAsia="Times New Roman" w:cstheme="minorHAnsi"/>
          <w:color w:val="000000"/>
          <w:lang w:eastAsia="hu-HU"/>
        </w:rPr>
      </w:pPr>
      <w:r w:rsidRPr="006C38DF">
        <w:rPr>
          <w:rFonts w:eastAsia="Times New Roman" w:cstheme="minorHAnsi"/>
          <w:color w:val="000000"/>
          <w:lang w:eastAsia="hu-HU"/>
        </w:rPr>
        <w:t>Jegyzetelő</w:t>
      </w:r>
      <w:r w:rsidRPr="00FE5DE4">
        <w:rPr>
          <w:rFonts w:eastAsia="Times New Roman" w:cstheme="minorHAnsi"/>
          <w:color w:val="000000"/>
          <w:lang w:eastAsia="hu-HU"/>
        </w:rPr>
        <w:t xml:space="preserve"> személyi segítők munkájáról, az igénylés menetéről </w:t>
      </w:r>
      <w:r w:rsidRPr="006C38DF">
        <w:rPr>
          <w:rFonts w:eastAsia="Times New Roman" w:cstheme="minorHAnsi"/>
          <w:color w:val="000000"/>
          <w:lang w:eastAsia="hu-HU"/>
        </w:rPr>
        <w:t xml:space="preserve">bővebb információ </w:t>
      </w:r>
      <w:r w:rsidRPr="00FE5DE4">
        <w:rPr>
          <w:rFonts w:eastAsia="Times New Roman" w:cstheme="minorHAnsi"/>
          <w:color w:val="000000"/>
          <w:lang w:eastAsia="hu-HU"/>
        </w:rPr>
        <w:t xml:space="preserve">a következő linken </w:t>
      </w:r>
      <w:r w:rsidRPr="006C38DF">
        <w:rPr>
          <w:rFonts w:eastAsia="Times New Roman" w:cstheme="minorHAnsi"/>
          <w:color w:val="000000"/>
          <w:lang w:eastAsia="hu-HU"/>
        </w:rPr>
        <w:t>található</w:t>
      </w:r>
      <w:r w:rsidRPr="00FE5DE4">
        <w:rPr>
          <w:rFonts w:eastAsia="Times New Roman" w:cstheme="minorHAnsi"/>
          <w:color w:val="000000"/>
          <w:lang w:eastAsia="hu-HU"/>
        </w:rPr>
        <w:t>:</w:t>
      </w:r>
      <w:r w:rsidRPr="00463CF1">
        <w:rPr>
          <w:rFonts w:eastAsia="Times New Roman" w:cstheme="minorHAnsi"/>
          <w:color w:val="0070C0"/>
          <w:lang w:eastAsia="hu-HU"/>
        </w:rPr>
        <w:t> </w:t>
      </w:r>
      <w:hyperlink r:id="rId13" w:history="1">
        <w:r w:rsidRPr="00463CF1">
          <w:rPr>
            <w:rStyle w:val="Hiperhivatkozs"/>
            <w:rFonts w:eastAsia="Times New Roman" w:cstheme="minorHAnsi"/>
            <w:color w:val="0070C0"/>
            <w:lang w:eastAsia="hu-HU"/>
          </w:rPr>
          <w:t>https://www.elte.hu/eselyegyenloseg/segitok</w:t>
        </w:r>
      </w:hyperlink>
    </w:p>
    <w:p w14:paraId="55494430" w14:textId="77777777" w:rsidR="00521F51" w:rsidRPr="00AD44D2" w:rsidRDefault="00521F51" w:rsidP="00AD44D2">
      <w:pPr>
        <w:spacing w:before="120" w:after="280" w:line="259" w:lineRule="auto"/>
        <w:jc w:val="both"/>
        <w:rPr>
          <w:rFonts w:cstheme="minorHAnsi"/>
          <w:b/>
          <w:sz w:val="24"/>
          <w:szCs w:val="24"/>
        </w:rPr>
      </w:pPr>
      <w:r w:rsidRPr="00AD44D2">
        <w:rPr>
          <w:rFonts w:cstheme="minorHAnsi"/>
          <w:b/>
          <w:sz w:val="24"/>
          <w:szCs w:val="24"/>
        </w:rPr>
        <w:t>Jelnyelvi tolmácsolás, orális tolmácsolás, feliratozás</w:t>
      </w:r>
    </w:p>
    <w:p w14:paraId="76C9BF93" w14:textId="57F5D4C0" w:rsidR="00521F51" w:rsidRDefault="00521F51" w:rsidP="00521F51">
      <w:pPr>
        <w:shd w:val="clear" w:color="auto" w:fill="FFFFFF"/>
        <w:spacing w:before="300" w:after="300" w:line="240" w:lineRule="auto"/>
        <w:jc w:val="both"/>
        <w:rPr>
          <w:rFonts w:cstheme="minorHAnsi"/>
          <w:color w:val="000000"/>
          <w:shd w:val="clear" w:color="auto" w:fill="FFFFFF"/>
        </w:rPr>
      </w:pPr>
      <w:r w:rsidRPr="006C38DF">
        <w:rPr>
          <w:rFonts w:eastAsia="Times New Roman" w:cstheme="minorHAnsi"/>
          <w:color w:val="000000"/>
          <w:lang w:eastAsia="hu-HU"/>
        </w:rPr>
        <w:t>A 2009. évi jelnyelvi törvény értelmében a felsőoktatásban nappali és levelező tagozaton tanuló hallgatók évente 120+150 óra (nappali), valamint 120+100 óra (levelező) térítésmentes tolmácsolást vehetnek igénybe.</w:t>
      </w:r>
      <w:r w:rsidRPr="006C38DF">
        <w:rPr>
          <w:rStyle w:val="Lbjegyzet-hivatkozs"/>
          <w:rFonts w:eastAsia="Times New Roman" w:cstheme="minorHAnsi"/>
          <w:color w:val="000000"/>
          <w:lang w:eastAsia="hu-HU"/>
        </w:rPr>
        <w:footnoteReference w:id="9"/>
      </w:r>
      <w:r w:rsidRPr="006C38DF">
        <w:rPr>
          <w:rFonts w:eastAsia="Times New Roman" w:cstheme="minorHAnsi"/>
          <w:color w:val="000000"/>
          <w:lang w:eastAsia="hu-HU"/>
        </w:rPr>
        <w:t xml:space="preserve"> </w:t>
      </w:r>
      <w:r w:rsidR="00D2596E">
        <w:rPr>
          <w:rStyle w:val="Lbjegyzet-hivatkozs"/>
          <w:rFonts w:eastAsia="Times New Roman" w:cstheme="minorHAnsi"/>
          <w:color w:val="000000"/>
          <w:lang w:eastAsia="hu-HU"/>
        </w:rPr>
        <w:footnoteReference w:id="10"/>
      </w:r>
      <w:r w:rsidR="00D2596E">
        <w:rPr>
          <w:rFonts w:eastAsia="Times New Roman" w:cstheme="minorHAnsi"/>
          <w:color w:val="000000"/>
          <w:lang w:eastAsia="hu-HU"/>
        </w:rPr>
        <w:t xml:space="preserve"> </w:t>
      </w:r>
      <w:r w:rsidRPr="006C38DF">
        <w:rPr>
          <w:rFonts w:eastAsia="Times New Roman" w:cstheme="minorHAnsi"/>
          <w:color w:val="000000"/>
          <w:lang w:eastAsia="hu-HU"/>
        </w:rPr>
        <w:t>Ennek a keretnek a kimerülése után, illetve egyetemi programok, rendezvények látogatása esetén a SHÜTI is biztosít</w:t>
      </w:r>
      <w:r w:rsidR="00AD44D2">
        <w:rPr>
          <w:rFonts w:eastAsia="Times New Roman" w:cstheme="minorHAnsi"/>
          <w:color w:val="000000"/>
          <w:lang w:eastAsia="hu-HU"/>
        </w:rPr>
        <w:t>(hat)</w:t>
      </w:r>
      <w:r w:rsidRPr="006C38DF">
        <w:rPr>
          <w:rFonts w:eastAsia="Times New Roman" w:cstheme="minorHAnsi"/>
          <w:color w:val="000000"/>
          <w:lang w:eastAsia="hu-HU"/>
        </w:rPr>
        <w:t xml:space="preserve"> jelnyelvi / orális tolmácsolást, feliratozást</w:t>
      </w:r>
      <w:r w:rsidR="00AD44D2">
        <w:rPr>
          <w:rFonts w:eastAsia="Times New Roman" w:cstheme="minorHAnsi"/>
          <w:color w:val="000000"/>
          <w:lang w:eastAsia="hu-HU"/>
        </w:rPr>
        <w:t xml:space="preserve">. </w:t>
      </w:r>
      <w:r w:rsidRPr="006C38DF">
        <w:rPr>
          <w:rFonts w:cstheme="minorHAnsi"/>
          <w:color w:val="000000"/>
          <w:shd w:val="clear" w:color="auto" w:fill="FFFFFF"/>
        </w:rPr>
        <w:t>Ezeket a szolgáltatásokat külsős tolmácsiroda végzi, ezért a tolmácsolás, feliratozás iránti igényt minimum 5 munkanappal korábban szükséges jelezni a SHÜTI vezetője felé (</w:t>
      </w:r>
      <w:hyperlink r:id="rId14" w:history="1">
        <w:r w:rsidRPr="006C38DF">
          <w:rPr>
            <w:rStyle w:val="Hiperhivatkozs"/>
            <w:rFonts w:cstheme="minorHAnsi"/>
            <w:b/>
            <w:bCs/>
            <w:color w:val="337AB7"/>
            <w:shd w:val="clear" w:color="auto" w:fill="FFFFFF"/>
          </w:rPr>
          <w:t>kovacs.krisztina@kancellaria.elte.hu</w:t>
        </w:r>
      </w:hyperlink>
      <w:r w:rsidRPr="006C38DF">
        <w:rPr>
          <w:rFonts w:cstheme="minorHAnsi"/>
          <w:color w:val="000000"/>
          <w:shd w:val="clear" w:color="auto" w:fill="FFFFFF"/>
        </w:rPr>
        <w:t xml:space="preserve">), hogy a megrendelést időben megtehessük. </w:t>
      </w:r>
    </w:p>
    <w:p w14:paraId="0DB28BD5" w14:textId="77777777" w:rsidR="00A527C5" w:rsidRPr="00AD44D2" w:rsidRDefault="00A527C5" w:rsidP="00AD44D2">
      <w:pPr>
        <w:spacing w:before="120" w:after="280" w:line="259" w:lineRule="auto"/>
        <w:jc w:val="both"/>
        <w:rPr>
          <w:rFonts w:cstheme="minorHAnsi"/>
          <w:b/>
          <w:sz w:val="24"/>
          <w:szCs w:val="24"/>
        </w:rPr>
      </w:pPr>
      <w:r w:rsidRPr="00AD44D2">
        <w:rPr>
          <w:rFonts w:cstheme="minorHAnsi"/>
          <w:b/>
          <w:sz w:val="24"/>
          <w:szCs w:val="24"/>
        </w:rPr>
        <w:t>Eszközkölcsönzés</w:t>
      </w:r>
    </w:p>
    <w:p w14:paraId="5E85CE55" w14:textId="6E4BDAA5" w:rsidR="00521F51" w:rsidRPr="004063C9" w:rsidRDefault="00A527C5" w:rsidP="004063C9">
      <w:pPr>
        <w:spacing w:before="120" w:after="280" w:line="256" w:lineRule="auto"/>
        <w:jc w:val="both"/>
        <w:rPr>
          <w:rFonts w:cstheme="minorHAnsi"/>
          <w:szCs w:val="24"/>
        </w:rPr>
      </w:pPr>
      <w:r w:rsidRPr="00A527C5">
        <w:rPr>
          <w:rFonts w:cstheme="minorHAnsi"/>
          <w:bCs/>
          <w:szCs w:val="24"/>
        </w:rPr>
        <w:t xml:space="preserve">A SHÜTI eszközparkjából lehetőség van az alábbi eszközök kölcsönzésére: </w:t>
      </w:r>
      <w:r w:rsidRPr="00A527C5">
        <w:rPr>
          <w:rFonts w:cstheme="minorHAnsi"/>
          <w:szCs w:val="24"/>
        </w:rPr>
        <w:t xml:space="preserve">laptop / tablet / diktafon / okosmikrofon / fejhallgató / hangszóró. Kölcsönzésre kölcsönzési szerződés kitöltésével, a leltári készlet erejéig van lehetőség. </w:t>
      </w:r>
      <w:r w:rsidR="004063C9">
        <w:rPr>
          <w:rFonts w:cstheme="minorHAnsi"/>
          <w:szCs w:val="24"/>
        </w:rPr>
        <w:br/>
      </w:r>
      <w:r w:rsidR="004063C9">
        <w:rPr>
          <w:rFonts w:cstheme="minorHAnsi"/>
          <w:szCs w:val="24"/>
        </w:rPr>
        <w:br/>
      </w:r>
      <w:r w:rsidR="004063C9">
        <w:rPr>
          <w:rFonts w:eastAsia="Times New Roman" w:cstheme="minorHAnsi"/>
          <w:b/>
          <w:bCs/>
          <w:color w:val="000000"/>
          <w:lang w:eastAsia="hu-HU"/>
        </w:rPr>
        <w:t>K</w:t>
      </w:r>
      <w:r>
        <w:rPr>
          <w:rFonts w:eastAsia="Times New Roman" w:cstheme="minorHAnsi"/>
          <w:b/>
          <w:bCs/>
          <w:color w:val="000000"/>
          <w:lang w:eastAsia="hu-HU"/>
        </w:rPr>
        <w:t xml:space="preserve">ölcsönözhető </w:t>
      </w:r>
      <w:r w:rsidR="00521F51" w:rsidRPr="006C38DF">
        <w:rPr>
          <w:rFonts w:eastAsia="Times New Roman" w:cstheme="minorHAnsi"/>
          <w:b/>
          <w:bCs/>
          <w:color w:val="000000"/>
          <w:lang w:eastAsia="hu-HU"/>
        </w:rPr>
        <w:t>adó-vevőrendszer, okosmikrofon</w:t>
      </w:r>
      <w:r w:rsidR="004063C9">
        <w:rPr>
          <w:rFonts w:eastAsia="Times New Roman" w:cstheme="minorHAnsi"/>
          <w:b/>
          <w:bCs/>
          <w:color w:val="000000"/>
          <w:lang w:eastAsia="hu-HU"/>
        </w:rPr>
        <w:t xml:space="preserve">: </w:t>
      </w:r>
      <w:r w:rsidR="00521F51" w:rsidRPr="006C38DF">
        <w:rPr>
          <w:rFonts w:cstheme="minorHAnsi"/>
          <w:color w:val="000000"/>
        </w:rPr>
        <w:t xml:space="preserve">Az okosmikrofonok olyan vezeték nélküli adó-vevő rendszerek, amelyeket az egyetemi előadások, szemináriumok látogatásához használhatóak. Ezek az eszközök kiemelik az előadó beszédét, kiszűrik a környezet zajait, ezáltal segítik a beszédértést. Az Egyetemünkön rendelkezésre álló okosmikrofonok telefontekerccsel- a T-állással rendelkező hallókészülékek és </w:t>
      </w:r>
      <w:proofErr w:type="spellStart"/>
      <w:r w:rsidR="00521F51" w:rsidRPr="006C38DF">
        <w:rPr>
          <w:rFonts w:cstheme="minorHAnsi"/>
          <w:color w:val="000000"/>
        </w:rPr>
        <w:t>cochleáris</w:t>
      </w:r>
      <w:proofErr w:type="spellEnd"/>
      <w:r w:rsidR="00521F51" w:rsidRPr="006C38DF">
        <w:rPr>
          <w:rFonts w:cstheme="minorHAnsi"/>
          <w:color w:val="000000"/>
        </w:rPr>
        <w:t xml:space="preserve"> implantátumok viselése esetén használhatóak. A kölcsönzést minden esetben előzetes konzultáció, és az eszköz kipróbálása előzi meg. Az eszközök kölcsönzése ingyenes, a kölcsönzési idő a tanévhez illeszkedik. </w:t>
      </w:r>
      <w:r w:rsidR="00521F51" w:rsidRPr="006C38DF">
        <w:rPr>
          <w:rFonts w:cstheme="minorHAnsi"/>
          <w:color w:val="000000"/>
          <w:shd w:val="clear" w:color="auto" w:fill="FFFFFF"/>
        </w:rPr>
        <w:t xml:space="preserve">A kölcsönzési igényt a </w:t>
      </w:r>
      <w:hyperlink r:id="rId15" w:history="1">
        <w:r w:rsidR="00521F51" w:rsidRPr="006C38DF">
          <w:rPr>
            <w:rStyle w:val="Hiperhivatkozs"/>
            <w:rFonts w:cstheme="minorHAnsi"/>
            <w:b/>
            <w:bCs/>
            <w:color w:val="337AB7"/>
            <w:shd w:val="clear" w:color="auto" w:fill="FFFFFF"/>
          </w:rPr>
          <w:t>szepesi.magdolna@kancellaria.elte.hu</w:t>
        </w:r>
      </w:hyperlink>
      <w:r w:rsidR="00521F51" w:rsidRPr="006C38DF">
        <w:rPr>
          <w:rFonts w:cstheme="minorHAnsi"/>
          <w:color w:val="000000"/>
          <w:shd w:val="clear" w:color="auto" w:fill="FFFFFF"/>
        </w:rPr>
        <w:t xml:space="preserve"> e-mail címen lehet jelezni.  </w:t>
      </w:r>
    </w:p>
    <w:p w14:paraId="1E68158A" w14:textId="130D86C9" w:rsidR="00521F51" w:rsidRPr="00AD44D2" w:rsidRDefault="00373651" w:rsidP="00AD44D2">
      <w:pPr>
        <w:spacing w:before="120" w:after="280" w:line="259" w:lineRule="auto"/>
        <w:jc w:val="both"/>
        <w:rPr>
          <w:rFonts w:cstheme="minorHAnsi"/>
          <w:b/>
          <w:sz w:val="24"/>
          <w:szCs w:val="24"/>
        </w:rPr>
      </w:pPr>
      <w:r w:rsidRPr="00AD44D2">
        <w:rPr>
          <w:rFonts w:cstheme="minorHAnsi"/>
          <w:b/>
          <w:sz w:val="24"/>
          <w:szCs w:val="24"/>
        </w:rPr>
        <w:t>L</w:t>
      </w:r>
      <w:r w:rsidR="00521F51" w:rsidRPr="00AD44D2">
        <w:rPr>
          <w:rFonts w:cstheme="minorHAnsi"/>
          <w:b/>
          <w:sz w:val="24"/>
          <w:szCs w:val="24"/>
        </w:rPr>
        <w:t>ogopédiai fejlesztés</w:t>
      </w:r>
    </w:p>
    <w:p w14:paraId="1A0F00BD" w14:textId="77777777" w:rsidR="00521F51" w:rsidRPr="006C38DF" w:rsidRDefault="00521F51" w:rsidP="00521F51">
      <w:pPr>
        <w:shd w:val="clear" w:color="auto" w:fill="FFFFFF"/>
        <w:spacing w:after="0" w:line="240" w:lineRule="auto"/>
        <w:jc w:val="both"/>
        <w:rPr>
          <w:rFonts w:eastAsia="Times New Roman" w:cstheme="minorHAnsi"/>
          <w:color w:val="000000"/>
          <w:lang w:eastAsia="hu-HU"/>
        </w:rPr>
      </w:pPr>
    </w:p>
    <w:p w14:paraId="4C9C0F94" w14:textId="77777777" w:rsidR="00521F51" w:rsidRPr="006C38DF" w:rsidRDefault="00521F51" w:rsidP="00521F51">
      <w:pPr>
        <w:shd w:val="clear" w:color="auto" w:fill="FFFFFF"/>
        <w:spacing w:after="0" w:line="240" w:lineRule="auto"/>
        <w:jc w:val="both"/>
        <w:rPr>
          <w:rFonts w:eastAsia="Times New Roman" w:cstheme="minorHAnsi"/>
          <w:color w:val="000000"/>
          <w:lang w:eastAsia="hu-HU"/>
        </w:rPr>
      </w:pPr>
      <w:r w:rsidRPr="00DB688D">
        <w:rPr>
          <w:rFonts w:eastAsia="Times New Roman" w:cstheme="minorHAnsi"/>
          <w:color w:val="000000"/>
          <w:lang w:eastAsia="hu-HU"/>
        </w:rPr>
        <w:t>A SHÜTI</w:t>
      </w:r>
      <w:r w:rsidRPr="006C38DF">
        <w:rPr>
          <w:rFonts w:eastAsia="Times New Roman" w:cstheme="minorHAnsi"/>
          <w:color w:val="000000"/>
          <w:lang w:eastAsia="hu-HU"/>
        </w:rPr>
        <w:t xml:space="preserve">-ben </w:t>
      </w:r>
      <w:r w:rsidRPr="00DB688D">
        <w:rPr>
          <w:rFonts w:eastAsia="Times New Roman" w:cstheme="minorHAnsi"/>
          <w:color w:val="000000"/>
          <w:lang w:eastAsia="hu-HU"/>
        </w:rPr>
        <w:t>igénybe vehet</w:t>
      </w:r>
      <w:r w:rsidRPr="006C38DF">
        <w:rPr>
          <w:rFonts w:eastAsia="Times New Roman" w:cstheme="minorHAnsi"/>
          <w:color w:val="000000"/>
          <w:lang w:eastAsia="hu-HU"/>
        </w:rPr>
        <w:t>ő</w:t>
      </w:r>
      <w:r w:rsidRPr="00DB688D">
        <w:rPr>
          <w:rFonts w:eastAsia="Times New Roman" w:cstheme="minorHAnsi"/>
          <w:color w:val="000000"/>
          <w:lang w:eastAsia="hu-HU"/>
        </w:rPr>
        <w:t xml:space="preserve"> artikulációs fejlesztés. A logopédiai munkát minden esetben egyéni konzultáció előzi meg.</w:t>
      </w:r>
    </w:p>
    <w:p w14:paraId="1A0E6E18" w14:textId="77777777" w:rsidR="00521F51" w:rsidRPr="006C38DF" w:rsidRDefault="00521F51" w:rsidP="00521F51">
      <w:pPr>
        <w:shd w:val="clear" w:color="auto" w:fill="FFFFFF"/>
        <w:spacing w:after="0" w:line="240" w:lineRule="auto"/>
        <w:jc w:val="both"/>
        <w:rPr>
          <w:rFonts w:eastAsia="Times New Roman" w:cstheme="minorHAnsi"/>
          <w:color w:val="000000"/>
          <w:lang w:eastAsia="hu-HU"/>
        </w:rPr>
      </w:pPr>
    </w:p>
    <w:p w14:paraId="36A25394" w14:textId="77777777" w:rsidR="00521F51" w:rsidRPr="00DB688D" w:rsidRDefault="00521F51" w:rsidP="00521F51">
      <w:pPr>
        <w:shd w:val="clear" w:color="auto" w:fill="FFFFFF"/>
        <w:spacing w:after="0" w:line="240" w:lineRule="auto"/>
        <w:jc w:val="both"/>
        <w:rPr>
          <w:rFonts w:eastAsia="Times New Roman" w:cstheme="minorHAnsi"/>
          <w:color w:val="000000"/>
          <w:lang w:eastAsia="hu-HU"/>
        </w:rPr>
      </w:pPr>
    </w:p>
    <w:p w14:paraId="0C6D2BD6" w14:textId="77777777" w:rsidR="00521F51" w:rsidRPr="00AD44D2" w:rsidRDefault="00521F51" w:rsidP="00AD44D2">
      <w:pPr>
        <w:spacing w:before="120" w:after="280" w:line="259" w:lineRule="auto"/>
        <w:jc w:val="both"/>
        <w:rPr>
          <w:rFonts w:cstheme="minorHAnsi"/>
          <w:b/>
          <w:sz w:val="24"/>
          <w:szCs w:val="24"/>
        </w:rPr>
      </w:pPr>
      <w:r w:rsidRPr="00AD44D2">
        <w:rPr>
          <w:rFonts w:cstheme="minorHAnsi"/>
          <w:b/>
          <w:sz w:val="24"/>
          <w:szCs w:val="24"/>
        </w:rPr>
        <w:lastRenderedPageBreak/>
        <w:t>Nyelvi korrektúra</w:t>
      </w:r>
    </w:p>
    <w:p w14:paraId="533766C4" w14:textId="77777777" w:rsidR="00521F51" w:rsidRPr="00AD44D2" w:rsidRDefault="00521F51" w:rsidP="00AD44D2">
      <w:pPr>
        <w:spacing w:before="120" w:after="280" w:line="259" w:lineRule="auto"/>
        <w:jc w:val="both"/>
        <w:rPr>
          <w:rFonts w:cstheme="minorHAnsi"/>
          <w:b/>
          <w:sz w:val="24"/>
          <w:szCs w:val="24"/>
        </w:rPr>
      </w:pPr>
    </w:p>
    <w:p w14:paraId="0F6E459F" w14:textId="77777777" w:rsidR="00521F51" w:rsidRPr="006C38DF" w:rsidRDefault="00521F51" w:rsidP="00521F51">
      <w:pPr>
        <w:shd w:val="clear" w:color="auto" w:fill="FFFFFF"/>
        <w:spacing w:after="0" w:line="240" w:lineRule="auto"/>
        <w:rPr>
          <w:rFonts w:cstheme="minorHAnsi"/>
        </w:rPr>
      </w:pPr>
      <w:r w:rsidRPr="006C38DF">
        <w:rPr>
          <w:rFonts w:cstheme="minorHAnsi"/>
        </w:rPr>
        <w:t xml:space="preserve">A szakdolgozatok, beadandó dolgozatok elkészítését követően igény esetén, kapacitástól függően nyelvi korrektúrát végzünk az elkészült dokumentumon. </w:t>
      </w:r>
    </w:p>
    <w:p w14:paraId="261656D9" w14:textId="4EB740B6" w:rsidR="00373651" w:rsidRDefault="00373651" w:rsidP="00521F51">
      <w:pPr>
        <w:spacing w:before="120" w:after="280" w:line="259" w:lineRule="auto"/>
        <w:jc w:val="both"/>
        <w:rPr>
          <w:rFonts w:cstheme="minorHAnsi"/>
        </w:rPr>
      </w:pPr>
    </w:p>
    <w:p w14:paraId="673A61D4" w14:textId="55A53923" w:rsidR="00373651" w:rsidRDefault="00373651" w:rsidP="00521F51">
      <w:pPr>
        <w:spacing w:before="120" w:after="280" w:line="259" w:lineRule="auto"/>
        <w:jc w:val="both"/>
        <w:rPr>
          <w:rFonts w:cstheme="minorHAnsi"/>
        </w:rPr>
      </w:pPr>
      <w:r w:rsidRPr="00373651">
        <w:rPr>
          <w:rFonts w:cstheme="minorHAnsi"/>
          <w:b/>
          <w:sz w:val="24"/>
          <w:szCs w:val="24"/>
        </w:rPr>
        <w:t>Zárt levelezőlista speciális szükségletű hallgatók számára</w:t>
      </w:r>
    </w:p>
    <w:p w14:paraId="039BA1C0" w14:textId="3B7DB26D" w:rsidR="001264C2" w:rsidRDefault="00373651" w:rsidP="00446774">
      <w:pPr>
        <w:spacing w:before="120" w:after="280" w:line="259" w:lineRule="auto"/>
        <w:jc w:val="both"/>
        <w:rPr>
          <w:sz w:val="18"/>
          <w:szCs w:val="18"/>
        </w:rPr>
      </w:pPr>
      <w:r w:rsidRPr="00373651">
        <w:rPr>
          <w:rFonts w:cstheme="minorHAnsi"/>
        </w:rPr>
        <w:t xml:space="preserve">Zárt és moderált levelezőlistánkon keresztül igyekszünk hozzád eljuttatni az téged érintő egyetemi felhívásokat, pályázati lehetőségeket, eseményeket, fontos információkat. A regisztrációval automatikusan felkerülsz a levelezőlistára, de van lehetőséged leiratkozni. </w:t>
      </w:r>
      <w:r w:rsidR="00446774">
        <w:rPr>
          <w:rFonts w:cstheme="minorHAnsi"/>
        </w:rPr>
        <w:t xml:space="preserve"> </w:t>
      </w:r>
    </w:p>
    <w:sectPr w:rsidR="001264C2" w:rsidSect="00BC2456">
      <w:pgSz w:w="11906" w:h="16838"/>
      <w:pgMar w:top="709" w:right="567" w:bottom="567" w:left="567"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648E1" w14:textId="77777777" w:rsidR="00975BB5" w:rsidRDefault="00975BB5" w:rsidP="00B43EB2">
      <w:pPr>
        <w:spacing w:after="0" w:line="240" w:lineRule="auto"/>
      </w:pPr>
      <w:r>
        <w:separator/>
      </w:r>
    </w:p>
  </w:endnote>
  <w:endnote w:type="continuationSeparator" w:id="0">
    <w:p w14:paraId="4994DA5F" w14:textId="77777777" w:rsidR="00975BB5" w:rsidRDefault="00975BB5" w:rsidP="00B4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48C57" w14:textId="77777777" w:rsidR="00975BB5" w:rsidRDefault="00975BB5" w:rsidP="00B43EB2">
      <w:pPr>
        <w:spacing w:after="0" w:line="240" w:lineRule="auto"/>
      </w:pPr>
      <w:r>
        <w:separator/>
      </w:r>
    </w:p>
  </w:footnote>
  <w:footnote w:type="continuationSeparator" w:id="0">
    <w:p w14:paraId="0EAE8B70" w14:textId="77777777" w:rsidR="00975BB5" w:rsidRDefault="00975BB5" w:rsidP="00B43EB2">
      <w:pPr>
        <w:spacing w:after="0" w:line="240" w:lineRule="auto"/>
      </w:pPr>
      <w:r>
        <w:continuationSeparator/>
      </w:r>
    </w:p>
  </w:footnote>
  <w:footnote w:id="1">
    <w:p w14:paraId="08E1BFAC" w14:textId="77777777" w:rsidR="00521F51" w:rsidRPr="00281086" w:rsidRDefault="00521F51" w:rsidP="00521F51">
      <w:pPr>
        <w:pStyle w:val="Lbjegyzetszveg"/>
        <w:jc w:val="both"/>
        <w:rPr>
          <w:sz w:val="18"/>
          <w:szCs w:val="18"/>
        </w:rPr>
      </w:pPr>
      <w:r>
        <w:rPr>
          <w:rStyle w:val="Lbjegyzet-hivatkozs"/>
        </w:rPr>
        <w:footnoteRef/>
      </w:r>
      <w:r>
        <w:t xml:space="preserve"> </w:t>
      </w:r>
      <w:r w:rsidRPr="002F0EAC">
        <w:rPr>
          <w:sz w:val="18"/>
          <w:szCs w:val="18"/>
        </w:rPr>
        <w:t>ELTE SZMSZ II. kötet HKR 210. (3) „A speciális szükségletű hallgató a tréning jellegű foglalkozások kivételével a kurzusokon hangfelvételt készíthet, azt azonban csak saját tanulmányai során és azokkal összefüggésben használhatja fel. Az oktató és a kurzus résztvevői részére a hangfelvétel készítését előre be kell jelenteni.”</w:t>
      </w:r>
    </w:p>
  </w:footnote>
  <w:footnote w:id="2">
    <w:p w14:paraId="5782D6F7" w14:textId="77777777" w:rsidR="00521F51" w:rsidRDefault="00521F51" w:rsidP="00521F51">
      <w:pPr>
        <w:pStyle w:val="Lbjegyzetszveg"/>
        <w:jc w:val="both"/>
      </w:pPr>
      <w:r>
        <w:rPr>
          <w:rStyle w:val="Lbjegyzet-hivatkozs"/>
        </w:rPr>
        <w:footnoteRef/>
      </w:r>
      <w:r>
        <w:t xml:space="preserve"> </w:t>
      </w:r>
      <w:r w:rsidRPr="002F0EAC">
        <w:rPr>
          <w:sz w:val="18"/>
          <w:szCs w:val="18"/>
        </w:rPr>
        <w:t>ELTE SZMSZ II. kötet HKR 210. (</w:t>
      </w:r>
      <w:r>
        <w:rPr>
          <w:sz w:val="18"/>
          <w:szCs w:val="18"/>
        </w:rPr>
        <w:t>2</w:t>
      </w:r>
      <w:r w:rsidRPr="002F0EAC">
        <w:rPr>
          <w:sz w:val="18"/>
          <w:szCs w:val="18"/>
        </w:rPr>
        <w:t>)</w:t>
      </w:r>
      <w:r>
        <w:t xml:space="preserve"> </w:t>
      </w:r>
      <w:r w:rsidRPr="0035091D">
        <w:rPr>
          <w:sz w:val="18"/>
          <w:szCs w:val="18"/>
        </w:rPr>
        <w:t>„A nyomtatott, papíralapú információszerzésben, a tananyag elolvasásában akadályozott hallgató kérése alapján a kari koordinátor kezdeményezésére az egyetem gondoskodik a megfelelő formátumú digitális tananyag biztosításáról.”</w:t>
      </w:r>
    </w:p>
  </w:footnote>
  <w:footnote w:id="3">
    <w:p w14:paraId="517DA562" w14:textId="77777777" w:rsidR="00521F51" w:rsidRDefault="00521F51" w:rsidP="00521F51">
      <w:pPr>
        <w:pStyle w:val="Lbjegyzetszveg"/>
        <w:jc w:val="both"/>
      </w:pPr>
      <w:r>
        <w:rPr>
          <w:rStyle w:val="Lbjegyzet-hivatkozs"/>
        </w:rPr>
        <w:footnoteRef/>
      </w:r>
      <w:r>
        <w:t xml:space="preserve"> </w:t>
      </w:r>
      <w:r w:rsidRPr="0035091D">
        <w:rPr>
          <w:sz w:val="18"/>
          <w:szCs w:val="18"/>
        </w:rPr>
        <w:t>(Vhr1. 62.§ 8) „A hosszabb felkészülési időt a nem fogyatékossággal élő hallgatókra megállapított időtartamhoz képest legalább 30%-kal hosszabb időtartamban kell megállapítani.”</w:t>
      </w:r>
    </w:p>
  </w:footnote>
  <w:footnote w:id="4">
    <w:p w14:paraId="5C3E90C5" w14:textId="77777777" w:rsidR="00521F51" w:rsidRDefault="00521F51" w:rsidP="00521F51">
      <w:pPr>
        <w:pStyle w:val="Lbjegyzetszveg"/>
        <w:jc w:val="both"/>
        <w:rPr>
          <w:sz w:val="18"/>
          <w:szCs w:val="18"/>
        </w:rPr>
      </w:pPr>
      <w:r>
        <w:rPr>
          <w:rStyle w:val="Lbjegyzet-hivatkozs"/>
        </w:rPr>
        <w:footnoteRef/>
      </w:r>
      <w:r>
        <w:t xml:space="preserve"> (</w:t>
      </w:r>
      <w:proofErr w:type="spellStart"/>
      <w:r>
        <w:rPr>
          <w:sz w:val="18"/>
          <w:szCs w:val="18"/>
        </w:rPr>
        <w:t>Nftv</w:t>
      </w:r>
      <w:proofErr w:type="spellEnd"/>
      <w:r>
        <w:rPr>
          <w:sz w:val="18"/>
          <w:szCs w:val="18"/>
        </w:rPr>
        <w:t>.</w:t>
      </w:r>
      <w:r w:rsidRPr="00952552">
        <w:rPr>
          <w:sz w:val="18"/>
          <w:szCs w:val="18"/>
        </w:rPr>
        <w:t xml:space="preserve"> 47. § 1) Egy személy - felsőoktatási szakképzésben, alapképzésben és mesterképzésben összesen - tizenkét féléven át folytathat a felsőoktatásban tanulmányokat magyar állami (rész)ösztöndíjas képzésben (a továbbiakban: támogatási idő). A támogatási idő legfeljebb tizennégy félév, ha a hallgató osztatlan képzésben vesz részt és a képzési követelmények szerint a képzési idő meghaladja a tíz félévet.</w:t>
      </w:r>
    </w:p>
    <w:p w14:paraId="6744AC2E" w14:textId="77777777" w:rsidR="00521F51" w:rsidRPr="00952552" w:rsidRDefault="00521F51" w:rsidP="00521F51">
      <w:pPr>
        <w:pStyle w:val="Lbjegyzetszveg"/>
        <w:jc w:val="both"/>
        <w:rPr>
          <w:sz w:val="18"/>
          <w:szCs w:val="18"/>
        </w:rPr>
      </w:pPr>
      <w:r w:rsidRPr="00952552">
        <w:rPr>
          <w:sz w:val="18"/>
          <w:szCs w:val="18"/>
        </w:rPr>
        <w:t>(4) A fogyatékossággal élő hallgató (1) bekezdésben meghatározott támogatási idejét a felsőoktatási intézmény legfeljebb négy félévvel megnövelheti. E kedvezmény több fokozat (oklevél) megszerzéséhez is igénybe vehető, azzal</w:t>
      </w:r>
      <w:r>
        <w:rPr>
          <w:sz w:val="18"/>
          <w:szCs w:val="18"/>
        </w:rPr>
        <w:t>,</w:t>
      </w:r>
      <w:r w:rsidRPr="00952552">
        <w:rPr>
          <w:sz w:val="18"/>
          <w:szCs w:val="18"/>
        </w:rPr>
        <w:t xml:space="preserve"> hogy az e bekezdésre tekintettel igénybe vett támogatási idő összesen a négy félévet nem haladhatja meg.</w:t>
      </w:r>
    </w:p>
  </w:footnote>
  <w:footnote w:id="5">
    <w:p w14:paraId="508E6003" w14:textId="77777777" w:rsidR="00521F51" w:rsidRDefault="00521F51" w:rsidP="00521F51">
      <w:pPr>
        <w:pStyle w:val="Lbjegyzetszveg"/>
      </w:pPr>
      <w:r>
        <w:rPr>
          <w:rStyle w:val="Lbjegyzet-hivatkozs"/>
        </w:rPr>
        <w:footnoteRef/>
      </w:r>
      <w:r>
        <w:t xml:space="preserve"> </w:t>
      </w:r>
      <w:r w:rsidRPr="002F0EAC">
        <w:rPr>
          <w:sz w:val="18"/>
          <w:szCs w:val="18"/>
        </w:rPr>
        <w:t>ELTE SZMSZ II. kötet HKR</w:t>
      </w:r>
      <w:r w:rsidRPr="00ED3F75">
        <w:rPr>
          <w:rFonts w:asciiTheme="minorHAnsi" w:eastAsiaTheme="minorHAnsi" w:hAnsiTheme="minorHAnsi" w:cstheme="minorBidi"/>
          <w:sz w:val="22"/>
          <w:szCs w:val="22"/>
          <w:lang w:eastAsia="en-US"/>
        </w:rPr>
        <w:t xml:space="preserve"> </w:t>
      </w:r>
      <w:r w:rsidRPr="00ED3F75">
        <w:rPr>
          <w:sz w:val="18"/>
          <w:szCs w:val="18"/>
        </w:rPr>
        <w:t>41/B. §</w:t>
      </w:r>
      <w:r>
        <w:rPr>
          <w:sz w:val="18"/>
          <w:szCs w:val="18"/>
        </w:rPr>
        <w:t xml:space="preserve"> (6) </w:t>
      </w:r>
      <w:r w:rsidRPr="00ED3F75">
        <w:rPr>
          <w:sz w:val="18"/>
          <w:szCs w:val="18"/>
        </w:rPr>
        <w:t>Mentesül az átsorolás alól</w:t>
      </w:r>
      <w:r>
        <w:rPr>
          <w:sz w:val="18"/>
          <w:szCs w:val="18"/>
        </w:rPr>
        <w:t xml:space="preserve"> </w:t>
      </w:r>
      <w:r w:rsidRPr="00ED3F75">
        <w:rPr>
          <w:sz w:val="18"/>
          <w:szCs w:val="18"/>
        </w:rPr>
        <w:t>c) a regisztrált, speciális szükségletű hallgató.</w:t>
      </w:r>
    </w:p>
  </w:footnote>
  <w:footnote w:id="6">
    <w:p w14:paraId="0106443C" w14:textId="77777777" w:rsidR="00521F51" w:rsidRDefault="00521F51" w:rsidP="00521F51">
      <w:pPr>
        <w:pStyle w:val="Lbjegyzetszveg"/>
      </w:pPr>
      <w:r>
        <w:rPr>
          <w:rStyle w:val="Lbjegyzet-hivatkozs"/>
        </w:rPr>
        <w:footnoteRef/>
      </w:r>
      <w:r>
        <w:t xml:space="preserve"> </w:t>
      </w:r>
      <w:r w:rsidRPr="0035091D">
        <w:rPr>
          <w:sz w:val="18"/>
          <w:szCs w:val="18"/>
        </w:rPr>
        <w:t xml:space="preserve">Vhr1. 62.§ </w:t>
      </w:r>
      <w:r>
        <w:rPr>
          <w:sz w:val="18"/>
          <w:szCs w:val="18"/>
        </w:rPr>
        <w:t>(3)b „</w:t>
      </w:r>
      <w:r>
        <w:t>a szóbeli vizsga írásbelivel történő helyettesítése, szóbeli vizsgáztatás során – hallgatói igény esetén – jelnyelvi vagy orális tolmács biztosítása”</w:t>
      </w:r>
    </w:p>
  </w:footnote>
  <w:footnote w:id="7">
    <w:p w14:paraId="68746FE9" w14:textId="77777777" w:rsidR="00521F51" w:rsidRDefault="00521F51" w:rsidP="00521F51">
      <w:pPr>
        <w:pStyle w:val="Lbjegyzetszveg"/>
      </w:pPr>
      <w:r>
        <w:rPr>
          <w:rStyle w:val="Lbjegyzet-hivatkozs"/>
        </w:rPr>
        <w:footnoteRef/>
      </w:r>
      <w:r>
        <w:t xml:space="preserve"> </w:t>
      </w:r>
      <w:r w:rsidRPr="0035091D">
        <w:rPr>
          <w:sz w:val="18"/>
          <w:szCs w:val="18"/>
        </w:rPr>
        <w:t xml:space="preserve">Vhr1. 62.§ </w:t>
      </w:r>
      <w:r>
        <w:rPr>
          <w:sz w:val="18"/>
          <w:szCs w:val="18"/>
        </w:rPr>
        <w:t>(3)d „</w:t>
      </w:r>
      <w:r>
        <w:t>az érthetőség és a megértés szempontjából az előadásokon és vizsgákon az elhangzottak egyidejű írásban való megjelenítése a hallgató részére”</w:t>
      </w:r>
    </w:p>
  </w:footnote>
  <w:footnote w:id="8">
    <w:p w14:paraId="55F62DBD" w14:textId="77777777" w:rsidR="00521F51" w:rsidRDefault="00521F51" w:rsidP="00521F51">
      <w:pPr>
        <w:pStyle w:val="Lbjegyzetszveg"/>
      </w:pPr>
      <w:r>
        <w:rPr>
          <w:rStyle w:val="Lbjegyzet-hivatkozs"/>
        </w:rPr>
        <w:footnoteRef/>
      </w:r>
      <w:r>
        <w:t xml:space="preserve"> </w:t>
      </w:r>
      <w:r w:rsidRPr="0035091D">
        <w:rPr>
          <w:sz w:val="18"/>
          <w:szCs w:val="18"/>
        </w:rPr>
        <w:t xml:space="preserve">Vhr1. 62.§ </w:t>
      </w:r>
      <w:r>
        <w:rPr>
          <w:sz w:val="18"/>
          <w:szCs w:val="18"/>
        </w:rPr>
        <w:t>(3)e „</w:t>
      </w:r>
      <w:r>
        <w:t>minden vizsgáztatás alkalmával segédeszközök, vizuális szemléltetés biztosítása”</w:t>
      </w:r>
    </w:p>
  </w:footnote>
  <w:footnote w:id="9">
    <w:p w14:paraId="66502EF9" w14:textId="77777777" w:rsidR="00521F51" w:rsidRDefault="00521F51" w:rsidP="00521F51">
      <w:pPr>
        <w:pStyle w:val="Lbjegyzetszveg"/>
      </w:pPr>
      <w:r>
        <w:rPr>
          <w:rStyle w:val="Lbjegyzet-hivatkozs"/>
        </w:rPr>
        <w:footnoteRef/>
      </w:r>
      <w:r>
        <w:t xml:space="preserve"> </w:t>
      </w:r>
      <w:r w:rsidRPr="00024384">
        <w:t>2009. évi CXXV. törvény</w:t>
      </w:r>
      <w:r>
        <w:t xml:space="preserve"> - </w:t>
      </w:r>
      <w:r w:rsidRPr="00024384">
        <w:t>a magyar jelnyelvről és a magyar jelnyelv használatáról</w:t>
      </w:r>
      <w:r>
        <w:t xml:space="preserve"> - </w:t>
      </w:r>
      <w:hyperlink r:id="rId1" w:history="1">
        <w:r w:rsidRPr="00463CF1">
          <w:rPr>
            <w:rStyle w:val="Hiperhivatkozs"/>
            <w:color w:val="0070C0"/>
            <w:sz w:val="18"/>
            <w:szCs w:val="18"/>
          </w:rPr>
          <w:t>https://net.jogtar.hu/jogszabaly?docid=A0900125.TV&amp;timeshift=20220101</w:t>
        </w:r>
      </w:hyperlink>
    </w:p>
  </w:footnote>
  <w:footnote w:id="10">
    <w:p w14:paraId="2EC7E1E5" w14:textId="409B105A" w:rsidR="00D2596E" w:rsidRPr="00D2596E" w:rsidRDefault="00D2596E">
      <w:pPr>
        <w:pStyle w:val="Lbjegyzetszveg"/>
        <w:rPr>
          <w:b/>
          <w:bCs/>
        </w:rPr>
      </w:pPr>
      <w:r w:rsidRPr="00D2596E">
        <w:rPr>
          <w:rStyle w:val="Lbjegyzet-hivatkozs"/>
          <w:b/>
          <w:bCs/>
        </w:rPr>
        <w:footnoteRef/>
      </w:r>
      <w:r w:rsidRPr="00D2596E">
        <w:rPr>
          <w:b/>
          <w:bCs/>
        </w:rPr>
        <w:t xml:space="preserve"> Ez az időkeret 2023.01.01-től az alábbiak szerint módosul: nappali képzésben 120+200óra, levelező képzésben 120+100 óra térítésmentes tolmácsolási kerettel rendelkeznek a felsőoktatásban tanuló hallgatók.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1" w15:restartNumberingAfterBreak="0">
    <w:nsid w:val="2F725621"/>
    <w:multiLevelType w:val="hybridMultilevel"/>
    <w:tmpl w:val="5F28D7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3" w15:restartNumberingAfterBreak="0">
    <w:nsid w:val="402C0814"/>
    <w:multiLevelType w:val="hybridMultilevel"/>
    <w:tmpl w:val="4808E064"/>
    <w:lvl w:ilvl="0" w:tplc="FF0895E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9A3485F"/>
    <w:multiLevelType w:val="hybridMultilevel"/>
    <w:tmpl w:val="50007312"/>
    <w:lvl w:ilvl="0" w:tplc="0FFC94C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6"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182673"/>
    <w:multiLevelType w:val="hybridMultilevel"/>
    <w:tmpl w:val="99CC9D66"/>
    <w:lvl w:ilvl="0" w:tplc="4DE26D32">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8442522"/>
    <w:multiLevelType w:val="hybridMultilevel"/>
    <w:tmpl w:val="23469CB0"/>
    <w:lvl w:ilvl="0" w:tplc="55948BA8">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11"/>
  </w:num>
  <w:num w:numId="9">
    <w:abstractNumId w:val="1"/>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activeWritingStyle w:appName="MSWord" w:lang="en-US" w:vendorID="64" w:dllVersion="6" w:nlCheck="1" w:checkStyle="0"/>
  <w:activeWritingStyle w:appName="MSWord" w:lang="de-DE" w:vendorID="64" w:dllVersion="6" w:nlCheck="1" w:checkStyle="0"/>
  <w:activeWritingStyle w:appName="MSWord" w:lang="hu-HU" w:vendorID="64" w:dllVersion="4096" w:nlCheck="1" w:checkStyle="0"/>
  <w:activeWritingStyle w:appName="MSWord" w:lang="en-US" w:vendorID="64" w:dllVersion="4096" w:nlCheck="1" w:checkStyle="0"/>
  <w:activeWritingStyle w:appName="MSWord" w:lang="hu-HU" w:vendorID="64" w:dllVersion="0" w:nlCheck="1" w:checkStyle="0"/>
  <w:activeWritingStyle w:appName="MSWord" w:lang="en-US" w:vendorID="64" w:dllVersion="0" w:nlCheck="1" w:checkStyle="0"/>
  <w:activeWritingStyle w:appName="MSWord" w:lang="de-DE"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59"/>
    <w:rsid w:val="000122CF"/>
    <w:rsid w:val="00040CA6"/>
    <w:rsid w:val="000467EE"/>
    <w:rsid w:val="000A7490"/>
    <w:rsid w:val="000A77EC"/>
    <w:rsid w:val="000C09D1"/>
    <w:rsid w:val="000F3100"/>
    <w:rsid w:val="000F39EC"/>
    <w:rsid w:val="001025A3"/>
    <w:rsid w:val="001104D1"/>
    <w:rsid w:val="001264C2"/>
    <w:rsid w:val="0014393E"/>
    <w:rsid w:val="00174B6E"/>
    <w:rsid w:val="0018222A"/>
    <w:rsid w:val="001A779E"/>
    <w:rsid w:val="001B0D97"/>
    <w:rsid w:val="001C0866"/>
    <w:rsid w:val="001D4F97"/>
    <w:rsid w:val="001E5126"/>
    <w:rsid w:val="001F55F5"/>
    <w:rsid w:val="001F79EA"/>
    <w:rsid w:val="00232905"/>
    <w:rsid w:val="00234561"/>
    <w:rsid w:val="0024559C"/>
    <w:rsid w:val="00255EB3"/>
    <w:rsid w:val="00256AAA"/>
    <w:rsid w:val="00257BA7"/>
    <w:rsid w:val="00272950"/>
    <w:rsid w:val="00281086"/>
    <w:rsid w:val="00287EDB"/>
    <w:rsid w:val="002903CE"/>
    <w:rsid w:val="00294E6D"/>
    <w:rsid w:val="002B619E"/>
    <w:rsid w:val="002B6BAF"/>
    <w:rsid w:val="002C66CC"/>
    <w:rsid w:val="002C70C7"/>
    <w:rsid w:val="002C7A79"/>
    <w:rsid w:val="002D45E7"/>
    <w:rsid w:val="002D6A43"/>
    <w:rsid w:val="002E7D47"/>
    <w:rsid w:val="002F0EAC"/>
    <w:rsid w:val="003071C1"/>
    <w:rsid w:val="0035015E"/>
    <w:rsid w:val="0035091D"/>
    <w:rsid w:val="00367742"/>
    <w:rsid w:val="00373651"/>
    <w:rsid w:val="00373780"/>
    <w:rsid w:val="00382A9A"/>
    <w:rsid w:val="003B3B01"/>
    <w:rsid w:val="003D3D7C"/>
    <w:rsid w:val="003E2411"/>
    <w:rsid w:val="003E6175"/>
    <w:rsid w:val="00403BA8"/>
    <w:rsid w:val="0040492F"/>
    <w:rsid w:val="004063C9"/>
    <w:rsid w:val="00412AD8"/>
    <w:rsid w:val="004240ED"/>
    <w:rsid w:val="00430785"/>
    <w:rsid w:val="0044148A"/>
    <w:rsid w:val="00446774"/>
    <w:rsid w:val="004649FE"/>
    <w:rsid w:val="00486C24"/>
    <w:rsid w:val="00492A5D"/>
    <w:rsid w:val="004C42A2"/>
    <w:rsid w:val="004D1B53"/>
    <w:rsid w:val="004F1961"/>
    <w:rsid w:val="004F2CD3"/>
    <w:rsid w:val="004F49CC"/>
    <w:rsid w:val="00501424"/>
    <w:rsid w:val="00521F51"/>
    <w:rsid w:val="00546F9E"/>
    <w:rsid w:val="00553375"/>
    <w:rsid w:val="0055401C"/>
    <w:rsid w:val="005547AE"/>
    <w:rsid w:val="005606B5"/>
    <w:rsid w:val="00565BB8"/>
    <w:rsid w:val="005709EB"/>
    <w:rsid w:val="00577D67"/>
    <w:rsid w:val="00585497"/>
    <w:rsid w:val="005939A2"/>
    <w:rsid w:val="005B6FF7"/>
    <w:rsid w:val="005C38F9"/>
    <w:rsid w:val="005D2898"/>
    <w:rsid w:val="005E3279"/>
    <w:rsid w:val="005F1DA7"/>
    <w:rsid w:val="0061233B"/>
    <w:rsid w:val="00623D53"/>
    <w:rsid w:val="00624ECD"/>
    <w:rsid w:val="00636972"/>
    <w:rsid w:val="006514C7"/>
    <w:rsid w:val="0065348C"/>
    <w:rsid w:val="00660357"/>
    <w:rsid w:val="00677739"/>
    <w:rsid w:val="0068129C"/>
    <w:rsid w:val="0068196C"/>
    <w:rsid w:val="006839A6"/>
    <w:rsid w:val="00686C50"/>
    <w:rsid w:val="006963D5"/>
    <w:rsid w:val="006A1DFF"/>
    <w:rsid w:val="006A4BDE"/>
    <w:rsid w:val="006C2DA6"/>
    <w:rsid w:val="006D45A0"/>
    <w:rsid w:val="006E38AC"/>
    <w:rsid w:val="006F170D"/>
    <w:rsid w:val="006F2C3F"/>
    <w:rsid w:val="0075653D"/>
    <w:rsid w:val="00782C7D"/>
    <w:rsid w:val="007B3D7F"/>
    <w:rsid w:val="007B6853"/>
    <w:rsid w:val="007C5F86"/>
    <w:rsid w:val="007C6297"/>
    <w:rsid w:val="007F7D28"/>
    <w:rsid w:val="00802866"/>
    <w:rsid w:val="00803175"/>
    <w:rsid w:val="00810050"/>
    <w:rsid w:val="00812841"/>
    <w:rsid w:val="00853B09"/>
    <w:rsid w:val="00864C96"/>
    <w:rsid w:val="008715B3"/>
    <w:rsid w:val="0087419A"/>
    <w:rsid w:val="00875C1C"/>
    <w:rsid w:val="00877FEF"/>
    <w:rsid w:val="00896159"/>
    <w:rsid w:val="008A4D38"/>
    <w:rsid w:val="008B41DE"/>
    <w:rsid w:val="008C2C0C"/>
    <w:rsid w:val="008E6C81"/>
    <w:rsid w:val="009037B3"/>
    <w:rsid w:val="009252C4"/>
    <w:rsid w:val="00931048"/>
    <w:rsid w:val="009467C6"/>
    <w:rsid w:val="00952552"/>
    <w:rsid w:val="00955F1A"/>
    <w:rsid w:val="00975BB5"/>
    <w:rsid w:val="009A4046"/>
    <w:rsid w:val="009B3682"/>
    <w:rsid w:val="009C1436"/>
    <w:rsid w:val="009C195F"/>
    <w:rsid w:val="009C2BE2"/>
    <w:rsid w:val="009C4C47"/>
    <w:rsid w:val="009D455F"/>
    <w:rsid w:val="009D58C5"/>
    <w:rsid w:val="009F56F6"/>
    <w:rsid w:val="00A30342"/>
    <w:rsid w:val="00A41674"/>
    <w:rsid w:val="00A527C5"/>
    <w:rsid w:val="00A73F21"/>
    <w:rsid w:val="00A7727F"/>
    <w:rsid w:val="00A86266"/>
    <w:rsid w:val="00A950D0"/>
    <w:rsid w:val="00AA1E83"/>
    <w:rsid w:val="00AB05F7"/>
    <w:rsid w:val="00AC28FD"/>
    <w:rsid w:val="00AD44D2"/>
    <w:rsid w:val="00AD7215"/>
    <w:rsid w:val="00B242EA"/>
    <w:rsid w:val="00B3668A"/>
    <w:rsid w:val="00B4062C"/>
    <w:rsid w:val="00B4254D"/>
    <w:rsid w:val="00B43EB2"/>
    <w:rsid w:val="00B4673A"/>
    <w:rsid w:val="00B51330"/>
    <w:rsid w:val="00B51BEC"/>
    <w:rsid w:val="00B64A42"/>
    <w:rsid w:val="00B73278"/>
    <w:rsid w:val="00BB192F"/>
    <w:rsid w:val="00BC2456"/>
    <w:rsid w:val="00BC64F9"/>
    <w:rsid w:val="00BD4E12"/>
    <w:rsid w:val="00C14DA6"/>
    <w:rsid w:val="00C243D9"/>
    <w:rsid w:val="00C35A6C"/>
    <w:rsid w:val="00C46A73"/>
    <w:rsid w:val="00C46D83"/>
    <w:rsid w:val="00C61FD3"/>
    <w:rsid w:val="00C6652F"/>
    <w:rsid w:val="00C71396"/>
    <w:rsid w:val="00C86F81"/>
    <w:rsid w:val="00C93DE0"/>
    <w:rsid w:val="00CE0DE7"/>
    <w:rsid w:val="00CF3435"/>
    <w:rsid w:val="00D227C5"/>
    <w:rsid w:val="00D2596E"/>
    <w:rsid w:val="00D26440"/>
    <w:rsid w:val="00D53E92"/>
    <w:rsid w:val="00D75043"/>
    <w:rsid w:val="00D827CD"/>
    <w:rsid w:val="00D859F2"/>
    <w:rsid w:val="00D97B8D"/>
    <w:rsid w:val="00DA6DA1"/>
    <w:rsid w:val="00DC0209"/>
    <w:rsid w:val="00DC13C2"/>
    <w:rsid w:val="00DC54DA"/>
    <w:rsid w:val="00DC6B38"/>
    <w:rsid w:val="00DD7D3C"/>
    <w:rsid w:val="00E03B83"/>
    <w:rsid w:val="00E056CF"/>
    <w:rsid w:val="00E22D5E"/>
    <w:rsid w:val="00E4358B"/>
    <w:rsid w:val="00E61CE0"/>
    <w:rsid w:val="00E630C2"/>
    <w:rsid w:val="00E70BCF"/>
    <w:rsid w:val="00E75F6A"/>
    <w:rsid w:val="00EB5899"/>
    <w:rsid w:val="00ED3F75"/>
    <w:rsid w:val="00EE34E0"/>
    <w:rsid w:val="00EE34FA"/>
    <w:rsid w:val="00F14FE7"/>
    <w:rsid w:val="00F47E1A"/>
    <w:rsid w:val="00F61E26"/>
    <w:rsid w:val="00F83FD5"/>
    <w:rsid w:val="00F91D93"/>
    <w:rsid w:val="00FB58F0"/>
    <w:rsid w:val="00FC3C53"/>
    <w:rsid w:val="00FD0E7B"/>
    <w:rsid w:val="00FD60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B9891F"/>
  <w15:docId w15:val="{4AC9442E-262F-4666-A876-172C7CE7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uiPriority w:val="9"/>
    <w:qFormat/>
    <w:rsid w:val="00A86266"/>
    <w:pPr>
      <w:keepNext/>
      <w:keepLines/>
      <w:spacing w:before="240"/>
      <w:outlineLvl w:val="0"/>
    </w:pPr>
    <w:rPr>
      <w:rFonts w:eastAsiaTheme="majorEastAsia" w:cstheme="majorBidi"/>
      <w:b/>
      <w:sz w:val="26"/>
      <w:szCs w:val="32"/>
    </w:rPr>
  </w:style>
  <w:style w:type="paragraph" w:styleId="Cmsor2">
    <w:name w:val="heading 2"/>
    <w:basedOn w:val="Norml"/>
    <w:next w:val="Norml"/>
    <w:link w:val="Cmsor2Char"/>
    <w:uiPriority w:val="9"/>
    <w:unhideWhenUsed/>
    <w:qFormat/>
    <w:rsid w:val="00A86266"/>
    <w:pPr>
      <w:keepNext/>
      <w:keepLines/>
      <w:spacing w:before="240"/>
      <w:outlineLvl w:val="1"/>
    </w:pPr>
    <w:rPr>
      <w:rFonts w:eastAsiaTheme="majorEastAsia" w:cstheme="majorBidi"/>
      <w:b/>
      <w:sz w:val="24"/>
      <w:szCs w:val="26"/>
    </w:rPr>
  </w:style>
  <w:style w:type="paragraph" w:styleId="Cmsor3">
    <w:name w:val="heading 3"/>
    <w:basedOn w:val="Norml"/>
    <w:next w:val="Norml"/>
    <w:link w:val="Cmsor3Char"/>
    <w:uiPriority w:val="9"/>
    <w:unhideWhenUsed/>
    <w:qFormat/>
    <w:rsid w:val="00A86266"/>
    <w:pPr>
      <w:keepNext/>
      <w:keepLines/>
      <w:spacing w:before="600" w:after="480"/>
      <w:outlineLvl w:val="2"/>
    </w:pPr>
    <w:rPr>
      <w:rFonts w:eastAsiaTheme="majorEastAsia" w:cstheme="majorBidi"/>
      <w:b/>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2C70C7"/>
    <w:pPr>
      <w:spacing w:after="0" w:line="240" w:lineRule="auto"/>
    </w:pPr>
  </w:style>
  <w:style w:type="paragraph" w:styleId="lfej">
    <w:name w:val="header"/>
    <w:basedOn w:val="Norml"/>
    <w:link w:val="lfejChar"/>
    <w:uiPriority w:val="99"/>
    <w:unhideWhenUsed/>
    <w:rsid w:val="00B43EB2"/>
    <w:pPr>
      <w:tabs>
        <w:tab w:val="center" w:pos="4703"/>
        <w:tab w:val="right" w:pos="9406"/>
      </w:tabs>
      <w:spacing w:after="0" w:line="240" w:lineRule="auto"/>
    </w:pPr>
  </w:style>
  <w:style w:type="character" w:customStyle="1" w:styleId="lfejChar">
    <w:name w:val="Élőfej Char"/>
    <w:basedOn w:val="Bekezdsalapbettpusa"/>
    <w:link w:val="lfej"/>
    <w:uiPriority w:val="99"/>
    <w:rsid w:val="00B43EB2"/>
  </w:style>
  <w:style w:type="paragraph" w:styleId="llb">
    <w:name w:val="footer"/>
    <w:basedOn w:val="Norml"/>
    <w:link w:val="llbChar"/>
    <w:uiPriority w:val="99"/>
    <w:unhideWhenUsed/>
    <w:rsid w:val="00B43EB2"/>
    <w:pPr>
      <w:tabs>
        <w:tab w:val="center" w:pos="4703"/>
        <w:tab w:val="right" w:pos="9406"/>
      </w:tabs>
      <w:spacing w:after="0" w:line="240" w:lineRule="auto"/>
    </w:pPr>
  </w:style>
  <w:style w:type="character" w:customStyle="1" w:styleId="llbChar">
    <w:name w:val="Élőláb Char"/>
    <w:basedOn w:val="Bekezdsalapbettpusa"/>
    <w:link w:val="llb"/>
    <w:uiPriority w:val="99"/>
    <w:rsid w:val="00B43EB2"/>
  </w:style>
  <w:style w:type="paragraph" w:styleId="Buborkszveg">
    <w:name w:val="Balloon Text"/>
    <w:basedOn w:val="Norml"/>
    <w:link w:val="BuborkszvegChar"/>
    <w:uiPriority w:val="99"/>
    <w:semiHidden/>
    <w:unhideWhenUsed/>
    <w:rsid w:val="00B43EB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43EB2"/>
    <w:rPr>
      <w:rFonts w:ascii="Tahoma" w:hAnsi="Tahoma" w:cs="Tahoma"/>
      <w:sz w:val="16"/>
      <w:szCs w:val="16"/>
    </w:rPr>
  </w:style>
  <w:style w:type="paragraph" w:customStyle="1" w:styleId="Norml1">
    <w:name w:val="Normál1"/>
    <w:basedOn w:val="Norml"/>
    <w:rsid w:val="00B43E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hivatkozs">
    <w:name w:val="Hyperlink"/>
    <w:uiPriority w:val="99"/>
    <w:rsid w:val="00B43EB2"/>
    <w:rPr>
      <w:color w:val="006600"/>
      <w:u w:val="single"/>
    </w:rPr>
  </w:style>
  <w:style w:type="paragraph" w:styleId="Lbjegyzetszveg">
    <w:name w:val="footnote text"/>
    <w:basedOn w:val="Norml"/>
    <w:link w:val="LbjegyzetszvegChar"/>
    <w:uiPriority w:val="99"/>
    <w:semiHidden/>
    <w:rsid w:val="00B43EB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B43EB2"/>
    <w:rPr>
      <w:rFonts w:ascii="Times New Roman" w:eastAsia="Times New Roman" w:hAnsi="Times New Roman" w:cs="Times New Roman"/>
      <w:sz w:val="20"/>
      <w:szCs w:val="20"/>
      <w:lang w:eastAsia="hu-HU"/>
    </w:rPr>
  </w:style>
  <w:style w:type="character" w:styleId="Lbjegyzet-hivatkozs">
    <w:name w:val="footnote reference"/>
    <w:uiPriority w:val="99"/>
    <w:semiHidden/>
    <w:rsid w:val="00B43EB2"/>
    <w:rPr>
      <w:vertAlign w:val="superscript"/>
    </w:rPr>
  </w:style>
  <w:style w:type="paragraph" w:styleId="NormlWeb">
    <w:name w:val="Normal (Web)"/>
    <w:basedOn w:val="Norml"/>
    <w:uiPriority w:val="99"/>
    <w:rsid w:val="00B43EB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43EB2"/>
    <w:pPr>
      <w:ind w:left="720"/>
      <w:contextualSpacing/>
    </w:pPr>
    <w:rPr>
      <w:rFonts w:ascii="Calibri" w:eastAsia="Calibri" w:hAnsi="Calibri" w:cs="Times New Roman"/>
    </w:rPr>
  </w:style>
  <w:style w:type="paragraph" w:customStyle="1" w:styleId="Default">
    <w:name w:val="Default"/>
    <w:rsid w:val="00B43EB2"/>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doc-ti">
    <w:name w:val="doc-ti"/>
    <w:basedOn w:val="Norml"/>
    <w:rsid w:val="00B43E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ld">
    <w:name w:val="bold"/>
    <w:basedOn w:val="Bekezdsalapbettpusa"/>
    <w:rsid w:val="00553375"/>
  </w:style>
  <w:style w:type="character" w:styleId="Jegyzethivatkozs">
    <w:name w:val="annotation reference"/>
    <w:basedOn w:val="Bekezdsalapbettpusa"/>
    <w:uiPriority w:val="99"/>
    <w:semiHidden/>
    <w:unhideWhenUsed/>
    <w:rsid w:val="000467EE"/>
    <w:rPr>
      <w:sz w:val="16"/>
      <w:szCs w:val="16"/>
    </w:rPr>
  </w:style>
  <w:style w:type="paragraph" w:styleId="Jegyzetszveg">
    <w:name w:val="annotation text"/>
    <w:basedOn w:val="Norml"/>
    <w:link w:val="JegyzetszvegChar"/>
    <w:uiPriority w:val="99"/>
    <w:semiHidden/>
    <w:unhideWhenUsed/>
    <w:rsid w:val="000467EE"/>
    <w:pPr>
      <w:spacing w:line="240" w:lineRule="auto"/>
    </w:pPr>
    <w:rPr>
      <w:sz w:val="20"/>
      <w:szCs w:val="20"/>
    </w:rPr>
  </w:style>
  <w:style w:type="character" w:customStyle="1" w:styleId="JegyzetszvegChar">
    <w:name w:val="Jegyzetszöveg Char"/>
    <w:basedOn w:val="Bekezdsalapbettpusa"/>
    <w:link w:val="Jegyzetszveg"/>
    <w:uiPriority w:val="99"/>
    <w:semiHidden/>
    <w:rsid w:val="000467EE"/>
    <w:rPr>
      <w:sz w:val="20"/>
      <w:szCs w:val="20"/>
    </w:rPr>
  </w:style>
  <w:style w:type="paragraph" w:styleId="Megjegyzstrgya">
    <w:name w:val="annotation subject"/>
    <w:basedOn w:val="Jegyzetszveg"/>
    <w:next w:val="Jegyzetszveg"/>
    <w:link w:val="MegjegyzstrgyaChar"/>
    <w:uiPriority w:val="99"/>
    <w:semiHidden/>
    <w:unhideWhenUsed/>
    <w:rsid w:val="000467EE"/>
    <w:rPr>
      <w:b/>
      <w:bCs/>
    </w:rPr>
  </w:style>
  <w:style w:type="character" w:customStyle="1" w:styleId="MegjegyzstrgyaChar">
    <w:name w:val="Megjegyzés tárgya Char"/>
    <w:basedOn w:val="JegyzetszvegChar"/>
    <w:link w:val="Megjegyzstrgya"/>
    <w:uiPriority w:val="99"/>
    <w:semiHidden/>
    <w:rsid w:val="000467EE"/>
    <w:rPr>
      <w:b/>
      <w:bCs/>
      <w:sz w:val="20"/>
      <w:szCs w:val="20"/>
    </w:rPr>
  </w:style>
  <w:style w:type="character" w:styleId="Kiemels">
    <w:name w:val="Emphasis"/>
    <w:basedOn w:val="Bekezdsalapbettpusa"/>
    <w:uiPriority w:val="20"/>
    <w:qFormat/>
    <w:rsid w:val="00636972"/>
    <w:rPr>
      <w:i/>
      <w:iCs/>
    </w:rPr>
  </w:style>
  <w:style w:type="character" w:styleId="Kiemels2">
    <w:name w:val="Strong"/>
    <w:basedOn w:val="Bekezdsalapbettpusa"/>
    <w:uiPriority w:val="22"/>
    <w:qFormat/>
    <w:rsid w:val="00636972"/>
    <w:rPr>
      <w:b/>
      <w:bCs/>
    </w:rPr>
  </w:style>
  <w:style w:type="table" w:styleId="Rcsostblzat">
    <w:name w:val="Table Grid"/>
    <w:basedOn w:val="Normltblzat"/>
    <w:uiPriority w:val="59"/>
    <w:rsid w:val="0028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40492F"/>
    <w:rPr>
      <w:color w:val="605E5C"/>
      <w:shd w:val="clear" w:color="auto" w:fill="E1DFDD"/>
    </w:rPr>
  </w:style>
  <w:style w:type="paragraph" w:styleId="Vgjegyzetszvege">
    <w:name w:val="endnote text"/>
    <w:basedOn w:val="Norml"/>
    <w:link w:val="VgjegyzetszvegeChar"/>
    <w:uiPriority w:val="99"/>
    <w:semiHidden/>
    <w:unhideWhenUsed/>
    <w:rsid w:val="008715B3"/>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8715B3"/>
    <w:rPr>
      <w:sz w:val="20"/>
      <w:szCs w:val="20"/>
    </w:rPr>
  </w:style>
  <w:style w:type="character" w:styleId="Vgjegyzet-hivatkozs">
    <w:name w:val="endnote reference"/>
    <w:basedOn w:val="Bekezdsalapbettpusa"/>
    <w:uiPriority w:val="99"/>
    <w:semiHidden/>
    <w:unhideWhenUsed/>
    <w:rsid w:val="008715B3"/>
    <w:rPr>
      <w:vertAlign w:val="superscript"/>
    </w:rPr>
  </w:style>
  <w:style w:type="character" w:customStyle="1" w:styleId="Cmsor1Char">
    <w:name w:val="Címsor 1 Char"/>
    <w:basedOn w:val="Bekezdsalapbettpusa"/>
    <w:link w:val="Cmsor1"/>
    <w:uiPriority w:val="9"/>
    <w:rsid w:val="00A86266"/>
    <w:rPr>
      <w:rFonts w:eastAsiaTheme="majorEastAsia" w:cstheme="majorBidi"/>
      <w:b/>
      <w:sz w:val="26"/>
      <w:szCs w:val="32"/>
    </w:rPr>
  </w:style>
  <w:style w:type="character" w:customStyle="1" w:styleId="Cmsor2Char">
    <w:name w:val="Címsor 2 Char"/>
    <w:basedOn w:val="Bekezdsalapbettpusa"/>
    <w:link w:val="Cmsor2"/>
    <w:uiPriority w:val="9"/>
    <w:rsid w:val="00A86266"/>
    <w:rPr>
      <w:rFonts w:eastAsiaTheme="majorEastAsia" w:cstheme="majorBidi"/>
      <w:b/>
      <w:sz w:val="24"/>
      <w:szCs w:val="26"/>
    </w:rPr>
  </w:style>
  <w:style w:type="character" w:customStyle="1" w:styleId="Cmsor3Char">
    <w:name w:val="Címsor 3 Char"/>
    <w:basedOn w:val="Bekezdsalapbettpusa"/>
    <w:link w:val="Cmsor3"/>
    <w:uiPriority w:val="9"/>
    <w:rsid w:val="00A86266"/>
    <w:rPr>
      <w:rFonts w:eastAsiaTheme="majorEastAsia" w:cstheme="majorBidi"/>
      <w:b/>
      <w:szCs w:val="24"/>
    </w:rPr>
  </w:style>
  <w:style w:type="character" w:styleId="Mrltotthiperhivatkozs">
    <w:name w:val="FollowedHyperlink"/>
    <w:basedOn w:val="Bekezdsalapbettpusa"/>
    <w:uiPriority w:val="99"/>
    <w:semiHidden/>
    <w:unhideWhenUsed/>
    <w:rsid w:val="00AD44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54188">
      <w:bodyDiv w:val="1"/>
      <w:marLeft w:val="0"/>
      <w:marRight w:val="0"/>
      <w:marTop w:val="0"/>
      <w:marBottom w:val="0"/>
      <w:divBdr>
        <w:top w:val="none" w:sz="0" w:space="0" w:color="auto"/>
        <w:left w:val="none" w:sz="0" w:space="0" w:color="auto"/>
        <w:bottom w:val="none" w:sz="0" w:space="0" w:color="auto"/>
        <w:right w:val="none" w:sz="0" w:space="0" w:color="auto"/>
      </w:divBdr>
    </w:div>
    <w:div w:id="369309277">
      <w:bodyDiv w:val="1"/>
      <w:marLeft w:val="390"/>
      <w:marRight w:val="390"/>
      <w:marTop w:val="0"/>
      <w:marBottom w:val="0"/>
      <w:divBdr>
        <w:top w:val="none" w:sz="0" w:space="0" w:color="auto"/>
        <w:left w:val="none" w:sz="0" w:space="0" w:color="auto"/>
        <w:bottom w:val="none" w:sz="0" w:space="0" w:color="auto"/>
        <w:right w:val="none" w:sz="0" w:space="0" w:color="auto"/>
      </w:divBdr>
    </w:div>
    <w:div w:id="550769498">
      <w:bodyDiv w:val="1"/>
      <w:marLeft w:val="390"/>
      <w:marRight w:val="390"/>
      <w:marTop w:val="0"/>
      <w:marBottom w:val="0"/>
      <w:divBdr>
        <w:top w:val="none" w:sz="0" w:space="0" w:color="auto"/>
        <w:left w:val="none" w:sz="0" w:space="0" w:color="auto"/>
        <w:bottom w:val="none" w:sz="0" w:space="0" w:color="auto"/>
        <w:right w:val="none" w:sz="0" w:space="0" w:color="auto"/>
      </w:divBdr>
    </w:div>
    <w:div w:id="1099377604">
      <w:bodyDiv w:val="1"/>
      <w:marLeft w:val="0"/>
      <w:marRight w:val="0"/>
      <w:marTop w:val="0"/>
      <w:marBottom w:val="0"/>
      <w:divBdr>
        <w:top w:val="none" w:sz="0" w:space="0" w:color="auto"/>
        <w:left w:val="none" w:sz="0" w:space="0" w:color="auto"/>
        <w:bottom w:val="none" w:sz="0" w:space="0" w:color="auto"/>
        <w:right w:val="none" w:sz="0" w:space="0" w:color="auto"/>
      </w:divBdr>
    </w:div>
    <w:div w:id="1973363233">
      <w:bodyDiv w:val="1"/>
      <w:marLeft w:val="0"/>
      <w:marRight w:val="0"/>
      <w:marTop w:val="0"/>
      <w:marBottom w:val="0"/>
      <w:divBdr>
        <w:top w:val="none" w:sz="0" w:space="0" w:color="auto"/>
        <w:left w:val="none" w:sz="0" w:space="0" w:color="auto"/>
        <w:bottom w:val="none" w:sz="0" w:space="0" w:color="auto"/>
        <w:right w:val="none" w:sz="0" w:space="0" w:color="auto"/>
      </w:divBdr>
    </w:div>
    <w:div w:id="20192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e.hu/eselyegyenloseg/hallas" TargetMode="External"/><Relationship Id="rId13" Type="http://schemas.openxmlformats.org/officeDocument/2006/relationships/hyperlink" Target="https://www.elte.hu/eselyegyenloseg/segit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epesi.magdolna@kancellaria.elte.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te.hu/eselyegyenloseg/hallas" TargetMode="External"/><Relationship Id="rId5" Type="http://schemas.openxmlformats.org/officeDocument/2006/relationships/webSettings" Target="webSettings.xml"/><Relationship Id="rId15" Type="http://schemas.openxmlformats.org/officeDocument/2006/relationships/hyperlink" Target="mailto:szepesi.magdolna@kancellaria.elte.hu" TargetMode="External"/><Relationship Id="rId10" Type="http://schemas.openxmlformats.org/officeDocument/2006/relationships/hyperlink" Target="https://www.elte.hu/eselyegyenloseg" TargetMode="External"/><Relationship Id="rId4" Type="http://schemas.openxmlformats.org/officeDocument/2006/relationships/settings" Target="settings.xml"/><Relationship Id="rId9" Type="http://schemas.openxmlformats.org/officeDocument/2006/relationships/hyperlink" Target="https://adatvedelem.elte.hu/tajekoztatok-sablonok" TargetMode="External"/><Relationship Id="rId14" Type="http://schemas.openxmlformats.org/officeDocument/2006/relationships/hyperlink" Target="mailto:kovacs.krisztina@kancellaria.elte.h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et.jogtar.hu/jogszabaly?docid=A0900125.TV&amp;timeshift=2022010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0BF89-B51F-4F92-A9CD-A34CE1299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1119</Words>
  <Characters>7723</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Matolcsi Rita</dc:creator>
  <cp:lastModifiedBy>Kovács Krisztina</cp:lastModifiedBy>
  <cp:revision>17</cp:revision>
  <cp:lastPrinted>2021-10-20T10:02:00Z</cp:lastPrinted>
  <dcterms:created xsi:type="dcterms:W3CDTF">2021-11-29T08:00:00Z</dcterms:created>
  <dcterms:modified xsi:type="dcterms:W3CDTF">2022-06-23T09:00:00Z</dcterms:modified>
</cp:coreProperties>
</file>