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04CE" w14:textId="609769D5" w:rsidR="00896159" w:rsidRPr="00626D55" w:rsidRDefault="00896159" w:rsidP="005547AE">
      <w:pPr>
        <w:jc w:val="center"/>
        <w:rPr>
          <w:b/>
          <w:sz w:val="26"/>
          <w:szCs w:val="26"/>
        </w:rPr>
      </w:pPr>
      <w:r w:rsidRPr="00626D55">
        <w:rPr>
          <w:b/>
          <w:sz w:val="26"/>
          <w:szCs w:val="26"/>
        </w:rPr>
        <w:t xml:space="preserve">Adatlap </w:t>
      </w:r>
      <w:r w:rsidR="00DD0748" w:rsidRPr="00626D55">
        <w:rPr>
          <w:b/>
          <w:sz w:val="26"/>
          <w:szCs w:val="26"/>
        </w:rPr>
        <w:t>hiperaktivitás-figyelemzavarban érintett hallgatók</w:t>
      </w:r>
      <w:r w:rsidRPr="00626D55">
        <w:rPr>
          <w:b/>
          <w:sz w:val="26"/>
          <w:szCs w:val="26"/>
        </w:rPr>
        <w:t xml:space="preserve"> speciális igényeinek felmérésére</w:t>
      </w:r>
    </w:p>
    <w:p w14:paraId="28C33405" w14:textId="61CEDB0C" w:rsidR="00896159" w:rsidRPr="005547AE" w:rsidRDefault="00896159" w:rsidP="009252C4">
      <w:pPr>
        <w:spacing w:line="240" w:lineRule="auto"/>
        <w:jc w:val="both"/>
        <w:rPr>
          <w:sz w:val="20"/>
        </w:rPr>
      </w:pPr>
      <w:r w:rsidRPr="005547AE">
        <w:rPr>
          <w:sz w:val="20"/>
        </w:rPr>
        <w:t xml:space="preserve">Az adatlapot önállóan, vagy a fogyatékosügyi koordinátor segítségével kérjük kitölteni és a regisztráció alkalmával átadni a koordinátornak. Az adatokat a fogyatékosügyi koordinátorok titkosan kezelik. </w:t>
      </w:r>
    </w:p>
    <w:p w14:paraId="63AF6DD8" w14:textId="77777777" w:rsidR="00896159" w:rsidRPr="00896159" w:rsidRDefault="00896159" w:rsidP="009252C4">
      <w:pPr>
        <w:spacing w:line="240" w:lineRule="auto"/>
        <w:jc w:val="both"/>
        <w:rPr>
          <w:b/>
          <w:sz w:val="24"/>
        </w:rPr>
      </w:pPr>
      <w:r w:rsidRPr="00896159">
        <w:rPr>
          <w:b/>
          <w:sz w:val="24"/>
        </w:rPr>
        <w:t>I. Személyes adatok</w:t>
      </w:r>
    </w:p>
    <w:p w14:paraId="5C15E2FD" w14:textId="77777777" w:rsidR="00896159" w:rsidRPr="0018222A" w:rsidRDefault="00896159" w:rsidP="009252C4">
      <w:pPr>
        <w:spacing w:line="240" w:lineRule="auto"/>
        <w:jc w:val="both"/>
        <w:rPr>
          <w:b/>
        </w:rPr>
      </w:pPr>
      <w:r w:rsidRPr="0018222A">
        <w:rPr>
          <w:b/>
        </w:rPr>
        <w:t>Hallgató neve:</w:t>
      </w:r>
    </w:p>
    <w:p w14:paraId="4EB1F6D9" w14:textId="77777777" w:rsidR="00896159" w:rsidRPr="0018222A" w:rsidRDefault="00896159" w:rsidP="009252C4">
      <w:pPr>
        <w:spacing w:line="240" w:lineRule="auto"/>
        <w:jc w:val="both"/>
        <w:rPr>
          <w:b/>
        </w:rPr>
      </w:pPr>
      <w:r w:rsidRPr="0018222A">
        <w:rPr>
          <w:b/>
        </w:rPr>
        <w:t>Neptun kódja:</w:t>
      </w:r>
    </w:p>
    <w:p w14:paraId="1C57D51A" w14:textId="77777777" w:rsidR="00896159" w:rsidRPr="0018222A" w:rsidRDefault="005547AE" w:rsidP="009252C4">
      <w:pPr>
        <w:spacing w:line="240" w:lineRule="auto"/>
        <w:jc w:val="both"/>
        <w:rPr>
          <w:b/>
        </w:rPr>
      </w:pPr>
      <w:r w:rsidRPr="0018222A">
        <w:rPr>
          <w:b/>
        </w:rPr>
        <w:t>Kar, szak</w:t>
      </w:r>
      <w:r w:rsidR="00896159" w:rsidRPr="0018222A">
        <w:rPr>
          <w:b/>
        </w:rPr>
        <w:t xml:space="preserve">: </w:t>
      </w:r>
    </w:p>
    <w:p w14:paraId="7096F9FE" w14:textId="77777777" w:rsidR="005547AE" w:rsidRPr="0018222A" w:rsidRDefault="005547AE" w:rsidP="009252C4">
      <w:pPr>
        <w:spacing w:line="240" w:lineRule="auto"/>
        <w:jc w:val="both"/>
      </w:pPr>
      <w:r w:rsidRPr="0018222A">
        <w:rPr>
          <w:b/>
        </w:rPr>
        <w:t>Tagozat</w:t>
      </w:r>
      <w:r w:rsidRPr="0018222A">
        <w:t>: Nappali/Esti/Levelező</w:t>
      </w:r>
    </w:p>
    <w:p w14:paraId="6B018446" w14:textId="77777777" w:rsidR="005547AE" w:rsidRPr="0018222A" w:rsidRDefault="005547AE" w:rsidP="009252C4">
      <w:pPr>
        <w:spacing w:line="240" w:lineRule="auto"/>
        <w:jc w:val="both"/>
      </w:pPr>
      <w:r w:rsidRPr="0018222A">
        <w:rPr>
          <w:b/>
        </w:rPr>
        <w:t>Képzési szint:</w:t>
      </w:r>
      <w:r w:rsidRPr="0018222A">
        <w:t xml:space="preserve"> Alapképzés/Mesterképzés/Doktori képzés/Osztatlan képzés </w:t>
      </w:r>
    </w:p>
    <w:p w14:paraId="343C6D23" w14:textId="77777777" w:rsidR="00896159" w:rsidRPr="0018222A" w:rsidRDefault="00896159" w:rsidP="009252C4">
      <w:pPr>
        <w:spacing w:line="240" w:lineRule="auto"/>
        <w:jc w:val="both"/>
        <w:rPr>
          <w:b/>
        </w:rPr>
      </w:pPr>
      <w:r w:rsidRPr="0018222A">
        <w:rPr>
          <w:b/>
        </w:rPr>
        <w:t xml:space="preserve">Születési hely, idő: </w:t>
      </w:r>
    </w:p>
    <w:p w14:paraId="0D33AD5C" w14:textId="77777777" w:rsidR="00896159" w:rsidRPr="0018222A" w:rsidRDefault="00896159" w:rsidP="009252C4">
      <w:pPr>
        <w:spacing w:line="240" w:lineRule="auto"/>
        <w:jc w:val="both"/>
        <w:rPr>
          <w:b/>
        </w:rPr>
      </w:pPr>
      <w:r w:rsidRPr="0018222A">
        <w:rPr>
          <w:b/>
        </w:rPr>
        <w:t xml:space="preserve">Levelezési cím: </w:t>
      </w:r>
    </w:p>
    <w:p w14:paraId="128E6D81" w14:textId="77777777" w:rsidR="00896159" w:rsidRPr="0018222A" w:rsidRDefault="00896159" w:rsidP="009252C4">
      <w:pPr>
        <w:spacing w:line="240" w:lineRule="auto"/>
        <w:jc w:val="both"/>
        <w:rPr>
          <w:b/>
        </w:rPr>
      </w:pPr>
      <w:r w:rsidRPr="0018222A">
        <w:rPr>
          <w:b/>
        </w:rPr>
        <w:t xml:space="preserve">Telefonszám: </w:t>
      </w:r>
    </w:p>
    <w:p w14:paraId="7D0BA17C" w14:textId="77777777" w:rsidR="00896159" w:rsidRPr="0018222A" w:rsidRDefault="00896159" w:rsidP="009252C4">
      <w:pPr>
        <w:spacing w:line="240" w:lineRule="auto"/>
        <w:jc w:val="both"/>
        <w:rPr>
          <w:b/>
        </w:rPr>
      </w:pPr>
      <w:r w:rsidRPr="0018222A">
        <w:rPr>
          <w:b/>
        </w:rPr>
        <w:t xml:space="preserve">E-mail cím: </w:t>
      </w:r>
    </w:p>
    <w:p w14:paraId="423F1805" w14:textId="77777777" w:rsidR="00896159" w:rsidRPr="0018222A" w:rsidRDefault="00896159" w:rsidP="009252C4">
      <w:pPr>
        <w:spacing w:line="240" w:lineRule="auto"/>
        <w:jc w:val="both"/>
        <w:rPr>
          <w:b/>
        </w:rPr>
      </w:pPr>
      <w:r w:rsidRPr="0018222A">
        <w:rPr>
          <w:b/>
        </w:rPr>
        <w:t xml:space="preserve">Beiratkozás időpontja: </w:t>
      </w:r>
    </w:p>
    <w:p w14:paraId="705EB676" w14:textId="7FA338EE" w:rsidR="00DD0748" w:rsidRPr="00DD0748" w:rsidRDefault="00174B6E" w:rsidP="00DD0748">
      <w:pPr>
        <w:spacing w:line="240" w:lineRule="auto"/>
        <w:jc w:val="both"/>
        <w:rPr>
          <w:b/>
        </w:rPr>
      </w:pPr>
      <w:r>
        <w:rPr>
          <w:noProof/>
          <w:lang w:eastAsia="hu-HU"/>
        </w:rPr>
        <mc:AlternateContent>
          <mc:Choice Requires="wps">
            <w:drawing>
              <wp:anchor distT="0" distB="0" distL="114300" distR="114300" simplePos="0" relativeHeight="251659264" behindDoc="0" locked="0" layoutInCell="1" allowOverlap="1" wp14:anchorId="2FFC65F1" wp14:editId="0EA34A39">
                <wp:simplePos x="0" y="0"/>
                <wp:positionH relativeFrom="margin">
                  <wp:align>left</wp:align>
                </wp:positionH>
                <wp:positionV relativeFrom="paragraph">
                  <wp:posOffset>295192</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1CB2AB7" id="Egyenes összekötő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25pt" to="5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" strokecolor="#7f7f7f [1612]">
                <v:shadow on="t" color="black" opacity="26214f" origin="-.5,-.5" offset=".74836mm,.74836mm"/>
                <w10:wrap anchorx="margin"/>
              </v:line>
            </w:pict>
          </mc:Fallback>
        </mc:AlternateContent>
      </w:r>
      <w:r w:rsidR="005547AE" w:rsidRPr="0018222A">
        <w:rPr>
          <w:b/>
        </w:rPr>
        <w:t>Regisztráció időpontja:</w:t>
      </w:r>
    </w:p>
    <w:p w14:paraId="459A559C" w14:textId="2BC40591" w:rsidR="00896159" w:rsidRDefault="00896159" w:rsidP="005547AE">
      <w:pPr>
        <w:jc w:val="both"/>
      </w:pPr>
    </w:p>
    <w:p w14:paraId="10ED05AB" w14:textId="77777777" w:rsidR="006526A6" w:rsidRDefault="006526A6">
      <w:pPr>
        <w:rPr>
          <w:b/>
          <w:sz w:val="24"/>
        </w:rPr>
      </w:pPr>
      <w:r>
        <w:rPr>
          <w:b/>
          <w:sz w:val="24"/>
        </w:rPr>
        <w:br w:type="page"/>
      </w:r>
    </w:p>
    <w:p w14:paraId="4CD327CC" w14:textId="054F3C16" w:rsidR="00896159" w:rsidRDefault="00896159" w:rsidP="005547AE">
      <w:pPr>
        <w:jc w:val="both"/>
        <w:rPr>
          <w:b/>
          <w:sz w:val="24"/>
        </w:rPr>
      </w:pPr>
      <w:r w:rsidRPr="00896159">
        <w:rPr>
          <w:b/>
          <w:sz w:val="24"/>
        </w:rPr>
        <w:lastRenderedPageBreak/>
        <w:t xml:space="preserve">II. Speciális igények </w:t>
      </w:r>
      <w:r w:rsidR="002B619E">
        <w:rPr>
          <w:b/>
          <w:sz w:val="24"/>
        </w:rPr>
        <w:t xml:space="preserve">(kérjük, </w:t>
      </w:r>
      <w:r w:rsidR="001872C6">
        <w:rPr>
          <w:b/>
          <w:sz w:val="24"/>
        </w:rPr>
        <w:t xml:space="preserve">jelölje </w:t>
      </w:r>
      <w:r w:rsidR="00F44B3E">
        <w:rPr>
          <w:b/>
          <w:sz w:val="24"/>
        </w:rPr>
        <w:t>meg az igényelt kedvezményeket</w:t>
      </w:r>
      <w:r w:rsidR="002B619E">
        <w:rPr>
          <w:b/>
          <w:sz w:val="24"/>
        </w:rPr>
        <w:t xml:space="preserve">) </w:t>
      </w:r>
    </w:p>
    <w:p w14:paraId="4B0021B5" w14:textId="4BC0D79B" w:rsidR="00287EDB" w:rsidRDefault="002B619E" w:rsidP="005547AE">
      <w:pPr>
        <w:jc w:val="both"/>
        <w:rPr>
          <w:b/>
          <w:sz w:val="24"/>
        </w:rPr>
      </w:pPr>
      <w:r>
        <w:rPr>
          <w:b/>
          <w:sz w:val="24"/>
        </w:rPr>
        <w:t>II./1. Tanulmányokhoz nyújtott többletsegítségek, kedvezmények</w:t>
      </w:r>
    </w:p>
    <w:p w14:paraId="6061C5E7" w14:textId="126103C6" w:rsidR="00A7727F" w:rsidRDefault="00A7727F" w:rsidP="005547AE">
      <w:pPr>
        <w:jc w:val="both"/>
        <w:rPr>
          <w:b/>
        </w:rPr>
      </w:pPr>
      <w:r w:rsidRPr="006526A6">
        <w:rPr>
          <w:b/>
        </w:rPr>
        <w:t>Speciális szükségletű hallgatók részére egységesen járó kedvezmények</w:t>
      </w:r>
    </w:p>
    <w:tbl>
      <w:tblPr>
        <w:tblStyle w:val="Rcsostblzat"/>
        <w:tblW w:w="10941" w:type="dxa"/>
        <w:tblLook w:val="04A0" w:firstRow="1" w:lastRow="0" w:firstColumn="1" w:lastColumn="0" w:noHBand="0" w:noVBand="1"/>
      </w:tblPr>
      <w:tblGrid>
        <w:gridCol w:w="10506"/>
        <w:gridCol w:w="435"/>
      </w:tblGrid>
      <w:tr w:rsidR="00A7727F" w14:paraId="14A422E0" w14:textId="1DE929F8" w:rsidTr="00A7727F">
        <w:trPr>
          <w:trHeight w:val="407"/>
        </w:trPr>
        <w:tc>
          <w:tcPr>
            <w:tcW w:w="10506" w:type="dxa"/>
          </w:tcPr>
          <w:p w14:paraId="2FF2E767" w14:textId="1A1CE10F" w:rsidR="00A7727F" w:rsidRDefault="00A7727F" w:rsidP="00E15D89">
            <w:pPr>
              <w:jc w:val="both"/>
            </w:pPr>
            <w:r>
              <w:t>Előadások hangrögzítésének igénye</w:t>
            </w:r>
            <w:r w:rsidR="00626D55">
              <w:rPr>
                <w:rStyle w:val="Lbjegyzet-hivatkozs"/>
              </w:rPr>
              <w:footnoteReference w:id="1"/>
            </w:r>
          </w:p>
        </w:tc>
        <w:tc>
          <w:tcPr>
            <w:tcW w:w="435" w:type="dxa"/>
          </w:tcPr>
          <w:p w14:paraId="14FBD84D" w14:textId="77777777" w:rsidR="00A7727F" w:rsidRDefault="00A7727F" w:rsidP="00E15D89">
            <w:pPr>
              <w:jc w:val="both"/>
            </w:pPr>
          </w:p>
        </w:tc>
      </w:tr>
      <w:tr w:rsidR="00A7727F" w14:paraId="6EEE4A47" w14:textId="21DB554C" w:rsidTr="00A7727F">
        <w:trPr>
          <w:trHeight w:val="407"/>
        </w:trPr>
        <w:tc>
          <w:tcPr>
            <w:tcW w:w="10506" w:type="dxa"/>
          </w:tcPr>
          <w:p w14:paraId="5F62DE12" w14:textId="198AA3E1" w:rsidR="00A7727F" w:rsidRDefault="00A7727F" w:rsidP="00E15D89">
            <w:pPr>
              <w:jc w:val="both"/>
            </w:pPr>
            <w:r>
              <w:t>Az előadáson használt ppt-k és egyéb elektronikus tananyagok megküldésének igény</w:t>
            </w:r>
            <w:r w:rsidR="00583A44">
              <w:t>e</w:t>
            </w:r>
            <w:r w:rsidR="00626D55">
              <w:rPr>
                <w:rStyle w:val="Lbjegyzet-hivatkozs"/>
              </w:rPr>
              <w:footnoteReference w:id="2"/>
            </w:r>
          </w:p>
        </w:tc>
        <w:tc>
          <w:tcPr>
            <w:tcW w:w="435" w:type="dxa"/>
          </w:tcPr>
          <w:p w14:paraId="76641515" w14:textId="77777777" w:rsidR="00A7727F" w:rsidRDefault="00A7727F" w:rsidP="00E15D89">
            <w:pPr>
              <w:jc w:val="both"/>
            </w:pPr>
          </w:p>
        </w:tc>
      </w:tr>
      <w:tr w:rsidR="00A7727F" w14:paraId="51E8357B" w14:textId="6ACC9E7C" w:rsidTr="00A7727F">
        <w:trPr>
          <w:trHeight w:val="691"/>
        </w:trPr>
        <w:tc>
          <w:tcPr>
            <w:tcW w:w="10506" w:type="dxa"/>
          </w:tcPr>
          <w:p w14:paraId="58B5CF8D" w14:textId="38EEB634" w:rsidR="00A7727F" w:rsidRDefault="00A7727F" w:rsidP="00E15D89">
            <w:pPr>
              <w:jc w:val="both"/>
            </w:pPr>
            <w:r>
              <w:t>A nem fogyatékossággal élő hallgatókra megállapított felkészülési időnél legalább 30%-kal hosszabb felkészülési idő biztosítása</w:t>
            </w:r>
            <w:r w:rsidR="00626D55">
              <w:rPr>
                <w:rStyle w:val="Lbjegyzet-hivatkozs"/>
              </w:rPr>
              <w:footnoteReference w:id="3"/>
            </w:r>
          </w:p>
        </w:tc>
        <w:tc>
          <w:tcPr>
            <w:tcW w:w="435" w:type="dxa"/>
          </w:tcPr>
          <w:p w14:paraId="46E8EA64" w14:textId="77777777" w:rsidR="00A7727F" w:rsidRDefault="00A7727F" w:rsidP="00E15D89">
            <w:pPr>
              <w:jc w:val="both"/>
            </w:pPr>
          </w:p>
        </w:tc>
      </w:tr>
      <w:tr w:rsidR="00A7727F" w14:paraId="3B19056C" w14:textId="77777777" w:rsidTr="00A7727F">
        <w:trPr>
          <w:trHeight w:val="407"/>
        </w:trPr>
        <w:tc>
          <w:tcPr>
            <w:tcW w:w="10506" w:type="dxa"/>
          </w:tcPr>
          <w:p w14:paraId="6960FDD5" w14:textId="7168D209" w:rsidR="00A7727F" w:rsidRPr="00AD35FE" w:rsidRDefault="00A7727F" w:rsidP="00A7727F">
            <w:pPr>
              <w:jc w:val="both"/>
            </w:pPr>
            <w:r>
              <w:t>Kurzusjelentkezés során 1000 többletpont</w:t>
            </w:r>
            <w:r w:rsidR="00546F9E">
              <w:t xml:space="preserve"> </w:t>
            </w:r>
            <w:r w:rsidR="00546F9E" w:rsidRPr="00546F9E">
              <w:t>(nyilatkozatot ki kell tölteni)</w:t>
            </w:r>
          </w:p>
        </w:tc>
        <w:tc>
          <w:tcPr>
            <w:tcW w:w="435" w:type="dxa"/>
          </w:tcPr>
          <w:p w14:paraId="48F6B20A" w14:textId="77777777" w:rsidR="00A7727F" w:rsidRDefault="00A7727F" w:rsidP="00A7727F">
            <w:pPr>
              <w:jc w:val="both"/>
            </w:pPr>
          </w:p>
        </w:tc>
      </w:tr>
    </w:tbl>
    <w:p w14:paraId="487C0A57" w14:textId="3402F85D" w:rsidR="00096E9A" w:rsidRDefault="00096E9A" w:rsidP="00096E9A">
      <w:pPr>
        <w:spacing w:before="480"/>
        <w:jc w:val="both"/>
      </w:pPr>
      <w:r>
        <w:t xml:space="preserve">A regisztrált speciális szükségletű hallgatók mentesülnek a magyar állami (rész)ösztöndíjas képzésből önköltséges képzésbe történő </w:t>
      </w:r>
      <w:r w:rsidR="000B0EB7">
        <w:t xml:space="preserve">tanulmányi alapú </w:t>
      </w:r>
      <w:r>
        <w:t>átsorolás alól</w:t>
      </w:r>
      <w:r>
        <w:rPr>
          <w:rStyle w:val="Lbjegyzet-hivatkozs"/>
        </w:rPr>
        <w:footnoteReference w:id="4"/>
      </w:r>
      <w:r>
        <w:t>.</w:t>
      </w:r>
    </w:p>
    <w:p w14:paraId="79C65371" w14:textId="59A581D9" w:rsidR="00096E9A" w:rsidRDefault="00096E9A" w:rsidP="00096E9A">
      <w:pPr>
        <w:spacing w:before="240"/>
        <w:jc w:val="both"/>
        <w:rPr>
          <w:b/>
        </w:rPr>
      </w:pPr>
      <w:r>
        <w:t>A hallgató kérésére a felsőoktatási intézmény az államilag támogatott féléveinek számát legfeljebb négy félévvel megnövelheti</w:t>
      </w:r>
      <w:r>
        <w:rPr>
          <w:rStyle w:val="Lbjegyzet-hivatkozs"/>
        </w:rPr>
        <w:footnoteReference w:id="5"/>
      </w:r>
    </w:p>
    <w:p w14:paraId="3DBB002F" w14:textId="098621AB" w:rsidR="009F56F6" w:rsidRPr="00DD0748" w:rsidRDefault="00DD0748" w:rsidP="00DD0748">
      <w:pPr>
        <w:spacing w:before="240"/>
        <w:jc w:val="both"/>
        <w:rPr>
          <w:b/>
        </w:rPr>
      </w:pPr>
      <w:r>
        <w:rPr>
          <w:b/>
        </w:rPr>
        <w:t>H</w:t>
      </w:r>
      <w:r w:rsidR="009F56F6" w:rsidRPr="00DD0748">
        <w:rPr>
          <w:b/>
        </w:rPr>
        <w:t>iperakt</w:t>
      </w:r>
      <w:r w:rsidR="00F7012E">
        <w:rPr>
          <w:b/>
        </w:rPr>
        <w:t>ivitással</w:t>
      </w:r>
      <w:r w:rsidR="009F56F6" w:rsidRPr="00DD0748">
        <w:rPr>
          <w:b/>
        </w:rPr>
        <w:t xml:space="preserve">, figyelemzavarral </w:t>
      </w:r>
      <w:r>
        <w:rPr>
          <w:b/>
        </w:rPr>
        <w:t>élő</w:t>
      </w:r>
      <w:r w:rsidR="009F56F6" w:rsidRPr="00DD0748">
        <w:rPr>
          <w:b/>
        </w:rPr>
        <w:t xml:space="preserve"> hallgat</w:t>
      </w:r>
      <w:r w:rsidR="00F7012E">
        <w:rPr>
          <w:b/>
        </w:rPr>
        <w:t>ó</w:t>
      </w:r>
      <w:r w:rsidR="009F56F6" w:rsidRPr="00DD0748">
        <w:rPr>
          <w:b/>
        </w:rPr>
        <w:t>:</w:t>
      </w:r>
    </w:p>
    <w:tbl>
      <w:tblPr>
        <w:tblStyle w:val="Rcsostblzat"/>
        <w:tblW w:w="10941" w:type="dxa"/>
        <w:tblLook w:val="04A0" w:firstRow="1" w:lastRow="0" w:firstColumn="1" w:lastColumn="0" w:noHBand="0" w:noVBand="1"/>
      </w:tblPr>
      <w:tblGrid>
        <w:gridCol w:w="10515"/>
        <w:gridCol w:w="426"/>
      </w:tblGrid>
      <w:tr w:rsidR="009F56F6" w14:paraId="445E12BE" w14:textId="77777777" w:rsidTr="0075703C">
        <w:trPr>
          <w:trHeight w:val="359"/>
        </w:trPr>
        <w:tc>
          <w:tcPr>
            <w:tcW w:w="10515" w:type="dxa"/>
          </w:tcPr>
          <w:p w14:paraId="4A02E630" w14:textId="3EB8E581" w:rsidR="009F56F6" w:rsidRDefault="0075703C" w:rsidP="00E15D89">
            <w:pPr>
              <w:jc w:val="both"/>
            </w:pPr>
            <w:bookmarkStart w:id="0" w:name="_Hlk86999083"/>
            <w:r>
              <w:t>A</w:t>
            </w:r>
            <w:r w:rsidR="009F56F6">
              <w:t>z írásbeli vizsga helyett szóbeli vizsga vagy szóbeli helyett írásbeli vizsga</w:t>
            </w:r>
          </w:p>
        </w:tc>
        <w:tc>
          <w:tcPr>
            <w:tcW w:w="426" w:type="dxa"/>
          </w:tcPr>
          <w:p w14:paraId="6C45947B" w14:textId="77777777" w:rsidR="009F56F6" w:rsidRDefault="009F56F6" w:rsidP="00E15D89">
            <w:pPr>
              <w:jc w:val="both"/>
            </w:pPr>
          </w:p>
        </w:tc>
      </w:tr>
      <w:tr w:rsidR="009F56F6" w14:paraId="2E88FED4" w14:textId="77777777" w:rsidTr="0075703C">
        <w:trPr>
          <w:trHeight w:val="647"/>
        </w:trPr>
        <w:tc>
          <w:tcPr>
            <w:tcW w:w="10515" w:type="dxa"/>
          </w:tcPr>
          <w:p w14:paraId="6801D7C4" w14:textId="6F00B115" w:rsidR="009F56F6" w:rsidRDefault="0075703C" w:rsidP="00E15D89">
            <w:pPr>
              <w:jc w:val="both"/>
            </w:pPr>
            <w:r>
              <w:t>A</w:t>
            </w:r>
            <w:r w:rsidR="009F56F6">
              <w:t xml:space="preserve"> vizsgán a szükséges segédeszközök (különösen számítógép, írógép, helyesírási szótár, értelmező szótár, szinonima szótár) biztosítása</w:t>
            </w:r>
          </w:p>
        </w:tc>
        <w:tc>
          <w:tcPr>
            <w:tcW w:w="426" w:type="dxa"/>
          </w:tcPr>
          <w:p w14:paraId="29BF64C1" w14:textId="77777777" w:rsidR="009F56F6" w:rsidRDefault="009F56F6" w:rsidP="00E15D89">
            <w:pPr>
              <w:jc w:val="both"/>
            </w:pPr>
          </w:p>
        </w:tc>
      </w:tr>
      <w:tr w:rsidR="009F56F6" w14:paraId="0553F3F8" w14:textId="77777777" w:rsidTr="0075703C">
        <w:trPr>
          <w:trHeight w:val="372"/>
        </w:trPr>
        <w:tc>
          <w:tcPr>
            <w:tcW w:w="10515" w:type="dxa"/>
          </w:tcPr>
          <w:p w14:paraId="58A4E621" w14:textId="6CF93D7F" w:rsidR="009F56F6" w:rsidRDefault="0075703C" w:rsidP="00E15D89">
            <w:pPr>
              <w:jc w:val="both"/>
            </w:pPr>
            <w:r>
              <w:t>K</w:t>
            </w:r>
            <w:r w:rsidR="009F56F6">
              <w:t>ülön vizsga a többi hallgatótól elkülönítetten</w:t>
            </w:r>
          </w:p>
        </w:tc>
        <w:tc>
          <w:tcPr>
            <w:tcW w:w="426" w:type="dxa"/>
          </w:tcPr>
          <w:p w14:paraId="491D5508" w14:textId="77777777" w:rsidR="009F56F6" w:rsidRDefault="009F56F6" w:rsidP="00E15D89">
            <w:pPr>
              <w:jc w:val="both"/>
            </w:pPr>
          </w:p>
        </w:tc>
      </w:tr>
      <w:tr w:rsidR="009F56F6" w14:paraId="7CB91928" w14:textId="77777777" w:rsidTr="0075703C">
        <w:trPr>
          <w:trHeight w:val="389"/>
        </w:trPr>
        <w:tc>
          <w:tcPr>
            <w:tcW w:w="10515" w:type="dxa"/>
          </w:tcPr>
          <w:p w14:paraId="00C31F54" w14:textId="30B9170A" w:rsidR="009F56F6" w:rsidRDefault="0075703C" w:rsidP="00E15D89">
            <w:pPr>
              <w:jc w:val="both"/>
            </w:pPr>
            <w:r>
              <w:t>V</w:t>
            </w:r>
            <w:r w:rsidR="009F56F6">
              <w:t>izsgáknál a hallgató várakozási idejének minimálisra csökkentése</w:t>
            </w:r>
          </w:p>
        </w:tc>
        <w:tc>
          <w:tcPr>
            <w:tcW w:w="426" w:type="dxa"/>
          </w:tcPr>
          <w:p w14:paraId="58958FC3" w14:textId="77777777" w:rsidR="009F56F6" w:rsidRDefault="009F56F6" w:rsidP="00E15D89">
            <w:pPr>
              <w:jc w:val="both"/>
            </w:pPr>
          </w:p>
        </w:tc>
      </w:tr>
      <w:tr w:rsidR="009F56F6" w14:paraId="6A3DE5DC" w14:textId="77777777" w:rsidTr="0075703C">
        <w:trPr>
          <w:trHeight w:val="393"/>
        </w:trPr>
        <w:tc>
          <w:tcPr>
            <w:tcW w:w="10515" w:type="dxa"/>
          </w:tcPr>
          <w:p w14:paraId="64071FB8" w14:textId="15A7B100" w:rsidR="009F56F6" w:rsidRDefault="0075703C" w:rsidP="00E15D89">
            <w:pPr>
              <w:jc w:val="both"/>
            </w:pPr>
            <w:r>
              <w:t>A</w:t>
            </w:r>
            <w:r w:rsidR="009F56F6">
              <w:t>z írásbeli feladatok megoldásához szükséges speciális eszközök, berendezési tárgyak alkalmazása</w:t>
            </w:r>
          </w:p>
        </w:tc>
        <w:tc>
          <w:tcPr>
            <w:tcW w:w="426" w:type="dxa"/>
          </w:tcPr>
          <w:p w14:paraId="0058D05B" w14:textId="77777777" w:rsidR="009F56F6" w:rsidRDefault="009F56F6" w:rsidP="00E15D89">
            <w:pPr>
              <w:jc w:val="both"/>
            </w:pPr>
          </w:p>
        </w:tc>
      </w:tr>
      <w:tr w:rsidR="009F56F6" w14:paraId="18E1D9A0" w14:textId="77777777" w:rsidTr="0075703C">
        <w:trPr>
          <w:trHeight w:val="680"/>
        </w:trPr>
        <w:tc>
          <w:tcPr>
            <w:tcW w:w="10515" w:type="dxa"/>
          </w:tcPr>
          <w:p w14:paraId="63A8089B" w14:textId="47B5B5AC" w:rsidR="009F56F6" w:rsidRDefault="0075703C" w:rsidP="00E15D89">
            <w:pPr>
              <w:jc w:val="both"/>
            </w:pPr>
            <w:r>
              <w:t>A</w:t>
            </w:r>
            <w:r w:rsidR="009F56F6">
              <w:t xml:space="preserve"> hosszabb időtartamú vizsga több részletben való megtartása, vagy a vizsga helyiségének elhagyása nélküli szünetek, vagy mozgásos aktivitás engedélyezése, érzelmi megnyilvánulások tolerálása</w:t>
            </w:r>
          </w:p>
        </w:tc>
        <w:tc>
          <w:tcPr>
            <w:tcW w:w="426" w:type="dxa"/>
          </w:tcPr>
          <w:p w14:paraId="405F08D0" w14:textId="77777777" w:rsidR="009F56F6" w:rsidRDefault="009F56F6" w:rsidP="00E15D89">
            <w:pPr>
              <w:jc w:val="both"/>
            </w:pPr>
          </w:p>
        </w:tc>
      </w:tr>
      <w:tr w:rsidR="009F56F6" w14:paraId="6D41A114" w14:textId="77777777" w:rsidTr="0075703C">
        <w:trPr>
          <w:trHeight w:val="986"/>
        </w:trPr>
        <w:tc>
          <w:tcPr>
            <w:tcW w:w="10515" w:type="dxa"/>
          </w:tcPr>
          <w:p w14:paraId="2B667C3C" w14:textId="21075590" w:rsidR="009F56F6" w:rsidRDefault="0075703C" w:rsidP="00E15D89">
            <w:pPr>
              <w:jc w:val="both"/>
            </w:pPr>
            <w:r>
              <w:t>A</w:t>
            </w:r>
            <w:r w:rsidR="009F56F6">
              <w:t>z egyéni sajátosságok függvényében a szóbeli vizsgáztatás során – hallgatói igény esetén – a kérdések leírása vagy többszöri megismétlése, komplex kérdések részegységekre történő lebontása, segítség az elvárások és kérdések tisztázásához</w:t>
            </w:r>
          </w:p>
        </w:tc>
        <w:tc>
          <w:tcPr>
            <w:tcW w:w="426" w:type="dxa"/>
          </w:tcPr>
          <w:p w14:paraId="15B8CA9D" w14:textId="77777777" w:rsidR="009F56F6" w:rsidRDefault="009F56F6" w:rsidP="00E15D89">
            <w:pPr>
              <w:jc w:val="both"/>
            </w:pPr>
          </w:p>
        </w:tc>
      </w:tr>
      <w:bookmarkEnd w:id="0"/>
      <w:tr w:rsidR="009F56F6" w14:paraId="27E69E66" w14:textId="77777777" w:rsidTr="0075703C">
        <w:trPr>
          <w:trHeight w:val="728"/>
        </w:trPr>
        <w:tc>
          <w:tcPr>
            <w:tcW w:w="10515" w:type="dxa"/>
          </w:tcPr>
          <w:p w14:paraId="09CD7760" w14:textId="316A3321" w:rsidR="009F56F6" w:rsidRDefault="0075703C" w:rsidP="00E15D89">
            <w:pPr>
              <w:jc w:val="both"/>
            </w:pPr>
            <w:r>
              <w:t>A</w:t>
            </w:r>
            <w:r w:rsidR="009F56F6">
              <w:t xml:space="preserve">z </w:t>
            </w:r>
            <w:r w:rsidR="009F56F6" w:rsidRPr="0075703C">
              <w:t>előadások, gyakorlatok és vizsgák alkalmával a kérdések, tételek hanghordozó eszközön, digitálisan történő hozzáférhetősége</w:t>
            </w:r>
          </w:p>
        </w:tc>
        <w:tc>
          <w:tcPr>
            <w:tcW w:w="426" w:type="dxa"/>
          </w:tcPr>
          <w:p w14:paraId="2A696223" w14:textId="77777777" w:rsidR="009F56F6" w:rsidRDefault="009F56F6" w:rsidP="00E15D89">
            <w:pPr>
              <w:jc w:val="both"/>
            </w:pPr>
          </w:p>
        </w:tc>
      </w:tr>
      <w:tr w:rsidR="009F56F6" w14:paraId="350761D5" w14:textId="77777777" w:rsidTr="0075703C">
        <w:trPr>
          <w:trHeight w:val="413"/>
        </w:trPr>
        <w:tc>
          <w:tcPr>
            <w:tcW w:w="10515" w:type="dxa"/>
          </w:tcPr>
          <w:p w14:paraId="5557860C" w14:textId="0F4AE5B0" w:rsidR="009F56F6" w:rsidRDefault="0075703C" w:rsidP="00E15D89">
            <w:pPr>
              <w:jc w:val="both"/>
            </w:pPr>
            <w:r>
              <w:t>S</w:t>
            </w:r>
            <w:r w:rsidR="009F56F6">
              <w:t xml:space="preserve">egédeszköz-kölcsönzés: laptop / tablet / diktafon </w:t>
            </w:r>
          </w:p>
        </w:tc>
        <w:tc>
          <w:tcPr>
            <w:tcW w:w="426" w:type="dxa"/>
          </w:tcPr>
          <w:p w14:paraId="19BE4FC8" w14:textId="77777777" w:rsidR="009F56F6" w:rsidRDefault="009F56F6" w:rsidP="00E15D89">
            <w:pPr>
              <w:jc w:val="both"/>
            </w:pPr>
          </w:p>
        </w:tc>
      </w:tr>
      <w:tr w:rsidR="006526A6" w14:paraId="066558C4" w14:textId="77777777" w:rsidTr="00E15D89">
        <w:tc>
          <w:tcPr>
            <w:tcW w:w="10515" w:type="dxa"/>
          </w:tcPr>
          <w:p w14:paraId="790B02CF" w14:textId="77777777" w:rsidR="006526A6" w:rsidRDefault="006526A6" w:rsidP="006526A6">
            <w:pPr>
              <w:jc w:val="both"/>
            </w:pPr>
            <w:r>
              <w:t xml:space="preserve">Speciális Hallgatói Ügyeket Támogató Iroda </w:t>
            </w:r>
            <w:r w:rsidRPr="00782C7D">
              <w:t>egyéni gyógypedagógiai, szociális, informatikai jellegű szolgáltatásai</w:t>
            </w:r>
          </w:p>
          <w:p w14:paraId="5DE54362" w14:textId="709DE27A" w:rsidR="006526A6" w:rsidRDefault="0041076B" w:rsidP="00E15D89">
            <w:pPr>
              <w:jc w:val="both"/>
            </w:pPr>
            <w:hyperlink r:id="rId8" w:history="1">
              <w:r w:rsidR="006526A6" w:rsidRPr="00626D55">
                <w:rPr>
                  <w:rStyle w:val="Hiperhivatkozs"/>
                  <w:color w:val="4F81BD" w:themeColor="accent1"/>
                </w:rPr>
                <w:t>https://www.elte.hu/eselyegyenloseg/tanulas</w:t>
              </w:r>
            </w:hyperlink>
            <w:r w:rsidR="006526A6" w:rsidRPr="00626D55">
              <w:rPr>
                <w:color w:val="4F81BD" w:themeColor="accent1"/>
              </w:rPr>
              <w:t xml:space="preserve"> </w:t>
            </w:r>
          </w:p>
        </w:tc>
        <w:tc>
          <w:tcPr>
            <w:tcW w:w="426" w:type="dxa"/>
          </w:tcPr>
          <w:p w14:paraId="3F56F798" w14:textId="77777777" w:rsidR="006526A6" w:rsidRDefault="006526A6" w:rsidP="00E15D89">
            <w:pPr>
              <w:jc w:val="both"/>
            </w:pPr>
          </w:p>
        </w:tc>
      </w:tr>
    </w:tbl>
    <w:p w14:paraId="01BFA8F8" w14:textId="77777777" w:rsidR="00096E9A" w:rsidRDefault="00096E9A">
      <w:pPr>
        <w:rPr>
          <w:b/>
          <w:sz w:val="24"/>
          <w:szCs w:val="24"/>
        </w:rPr>
      </w:pPr>
      <w:r>
        <w:rPr>
          <w:b/>
          <w:sz w:val="24"/>
          <w:szCs w:val="24"/>
        </w:rPr>
        <w:br w:type="page"/>
      </w:r>
    </w:p>
    <w:p w14:paraId="52D7E3B4" w14:textId="77777777" w:rsidR="0041076B" w:rsidRPr="00A66884" w:rsidRDefault="0041076B" w:rsidP="0041076B">
      <w:pPr>
        <w:spacing w:line="240" w:lineRule="auto"/>
        <w:jc w:val="center"/>
        <w:rPr>
          <w:rFonts w:ascii="Garamond" w:eastAsia="Calibri" w:hAnsi="Garamond" w:cs="Times New Roman"/>
          <w:b/>
          <w:bCs/>
          <w:sz w:val="28"/>
          <w:szCs w:val="24"/>
        </w:rPr>
      </w:pPr>
      <w:r w:rsidRPr="00A66884">
        <w:rPr>
          <w:rFonts w:ascii="Garamond" w:eastAsia="Calibri" w:hAnsi="Garamond" w:cs="Times New Roman"/>
          <w:b/>
          <w:bCs/>
          <w:sz w:val="28"/>
          <w:szCs w:val="24"/>
        </w:rPr>
        <w:lastRenderedPageBreak/>
        <w:t>Nyilatkozatok</w:t>
      </w:r>
    </w:p>
    <w:p w14:paraId="3F4758EA" w14:textId="77777777" w:rsidR="0041076B" w:rsidRPr="00A66884" w:rsidRDefault="0041076B" w:rsidP="0041076B">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Alulírott:</w:t>
      </w:r>
      <w:r w:rsidRPr="00A66884">
        <w:rPr>
          <w:rFonts w:ascii="Garamond" w:eastAsia="Calibri" w:hAnsi="Garamond" w:cs="Times New Roman"/>
          <w:sz w:val="24"/>
          <w:szCs w:val="24"/>
        </w:rPr>
        <w:tab/>
        <w:t>...............................................................................</w:t>
      </w:r>
    </w:p>
    <w:p w14:paraId="2F2AF1C2" w14:textId="77777777" w:rsidR="0041076B" w:rsidRPr="00A66884" w:rsidRDefault="0041076B" w:rsidP="0041076B">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Neptun kód:</w:t>
      </w:r>
      <w:r w:rsidRPr="00A66884">
        <w:rPr>
          <w:rFonts w:ascii="Garamond" w:eastAsia="Calibri" w:hAnsi="Garamond" w:cs="Times New Roman"/>
          <w:sz w:val="24"/>
          <w:szCs w:val="24"/>
        </w:rPr>
        <w:tab/>
        <w:t>...............................................................................</w:t>
      </w:r>
    </w:p>
    <w:p w14:paraId="1D8976C5" w14:textId="77777777" w:rsidR="0041076B" w:rsidRPr="00A66884" w:rsidRDefault="0041076B" w:rsidP="0041076B">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lakcím:</w:t>
      </w:r>
      <w:r w:rsidRPr="00A66884">
        <w:rPr>
          <w:rFonts w:ascii="Garamond" w:eastAsia="Calibri" w:hAnsi="Garamond" w:cs="Times New Roman"/>
          <w:sz w:val="24"/>
          <w:szCs w:val="24"/>
        </w:rPr>
        <w:tab/>
      </w:r>
      <w:r w:rsidRPr="00A66884">
        <w:rPr>
          <w:rFonts w:ascii="Garamond" w:eastAsia="Calibri" w:hAnsi="Garamond" w:cs="Times New Roman"/>
          <w:sz w:val="24"/>
          <w:szCs w:val="24"/>
        </w:rPr>
        <w:tab/>
        <w:t xml:space="preserve">............................................................................... </w:t>
      </w:r>
    </w:p>
    <w:p w14:paraId="3D9E2E7F" w14:textId="77777777" w:rsidR="0041076B" w:rsidRPr="00A66884" w:rsidRDefault="0041076B" w:rsidP="0041076B">
      <w:pPr>
        <w:spacing w:after="48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szül. hely, idő:</w:t>
      </w:r>
      <w:r w:rsidRPr="00A66884">
        <w:rPr>
          <w:rFonts w:ascii="Garamond" w:eastAsia="Calibri" w:hAnsi="Garamond" w:cs="Times New Roman"/>
          <w:sz w:val="24"/>
          <w:szCs w:val="24"/>
        </w:rPr>
        <w:tab/>
        <w:t xml:space="preserve">............................................................................... </w:t>
      </w:r>
    </w:p>
    <w:p w14:paraId="786A8A30" w14:textId="77777777" w:rsidR="0041076B" w:rsidRPr="00A66884" w:rsidRDefault="0041076B" w:rsidP="0041076B">
      <w:pPr>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1. Nyilatkozat a kurzusfelvétel során adható többletpont iránti igényről </w:t>
      </w:r>
    </w:p>
    <w:p w14:paraId="2A443B4A" w14:textId="77777777" w:rsidR="0041076B" w:rsidRDefault="0041076B" w:rsidP="0041076B">
      <w:pPr>
        <w:autoSpaceDE w:val="0"/>
        <w:autoSpaceDN w:val="0"/>
        <w:adjustRightInd w:val="0"/>
        <w:spacing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Alulírott tudomásul veszem, hogy az ELTE Szervezeti és Működési Szabályzat II. kötetét képező Hallgatói Követelményrendszer 60. § (1) bek. k) pontja és (1a) bekezdése alapján, amennyiben a karon az adott képzési helyszínen az Elektronikus Tanulmányi Rendszerben kurzusra jelentkező hallgatók között rangsorolás történik, a rangsorolás során a fogyatékos hallgatók 1000 pontot kapnak, ha a fogyatékosügyi koordinátornál tett regisztrációjuk során ezt kifejezetten kérik.</w:t>
      </w:r>
    </w:p>
    <w:p w14:paraId="16A3566F" w14:textId="77777777" w:rsidR="0041076B" w:rsidRPr="00A66884" w:rsidRDefault="0041076B" w:rsidP="0041076B">
      <w:pPr>
        <w:autoSpaceDE w:val="0"/>
        <w:autoSpaceDN w:val="0"/>
        <w:adjustRightInd w:val="0"/>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Fentiekre tekintettel nyilatkozom arról, hogy a kurzusra jelentkezéshez fűződő rangsorolási jogomat  </w:t>
      </w:r>
    </w:p>
    <w:p w14:paraId="13379DEB" w14:textId="77777777" w:rsidR="0041076B" w:rsidRPr="00A66884" w:rsidRDefault="0041076B" w:rsidP="0041076B">
      <w:pPr>
        <w:numPr>
          <w:ilvl w:val="0"/>
          <w:numId w:val="10"/>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érvényesíteni </w:t>
      </w:r>
      <w:r w:rsidRPr="00A66884">
        <w:rPr>
          <w:rFonts w:ascii="Garamond" w:eastAsia="Calibri" w:hAnsi="Garamond" w:cs="Times New Roman"/>
          <w:bCs/>
          <w:sz w:val="24"/>
          <w:szCs w:val="24"/>
        </w:rPr>
        <w:t>kívánom</w:t>
      </w:r>
    </w:p>
    <w:p w14:paraId="57B1FFAF" w14:textId="77777777" w:rsidR="0041076B" w:rsidRPr="00A66884" w:rsidRDefault="0041076B" w:rsidP="0041076B">
      <w:pPr>
        <w:numPr>
          <w:ilvl w:val="0"/>
          <w:numId w:val="10"/>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w:t>
      </w:r>
      <w:r w:rsidRPr="00A66884">
        <w:rPr>
          <w:rFonts w:ascii="Garamond" w:eastAsia="Calibri" w:hAnsi="Garamond" w:cs="Times New Roman"/>
          <w:bCs/>
          <w:sz w:val="24"/>
          <w:szCs w:val="24"/>
        </w:rPr>
        <w:t>kívánom</w:t>
      </w:r>
      <w:r w:rsidRPr="00A66884">
        <w:rPr>
          <w:rFonts w:ascii="Garamond" w:eastAsia="Calibri" w:hAnsi="Garamond" w:cs="Times New Roman"/>
          <w:b/>
          <w:sz w:val="24"/>
          <w:szCs w:val="24"/>
        </w:rPr>
        <w:t xml:space="preserve"> érvényesíteni </w:t>
      </w:r>
    </w:p>
    <w:p w14:paraId="62AAC912" w14:textId="77777777" w:rsidR="0041076B" w:rsidRPr="00A66884" w:rsidRDefault="0041076B" w:rsidP="0041076B">
      <w:pPr>
        <w:spacing w:before="480"/>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2. Nyilatkozat a különleges személyes adatok kezeléséről  </w:t>
      </w:r>
    </w:p>
    <w:p w14:paraId="4CF091FA" w14:textId="77777777" w:rsidR="0041076B" w:rsidRPr="00A66884" w:rsidRDefault="0041076B" w:rsidP="0041076B">
      <w:pPr>
        <w:spacing w:line="240" w:lineRule="auto"/>
        <w:jc w:val="both"/>
        <w:rPr>
          <w:rFonts w:ascii="Garamond" w:eastAsia="Calibri" w:hAnsi="Garamond" w:cs="Times New Roman"/>
          <w:b/>
          <w:sz w:val="24"/>
          <w:szCs w:val="24"/>
        </w:rPr>
      </w:pPr>
      <w:r w:rsidRPr="00A66884">
        <w:rPr>
          <w:rFonts w:ascii="Garamond" w:eastAsia="Calibri" w:hAnsi="Garamond" w:cs="Times New Roman"/>
          <w:sz w:val="24"/>
          <w:szCs w:val="24"/>
        </w:rPr>
        <w:t xml:space="preserve">Alulírott mint adatkezeléssel érintett fogyatékossággal élő hallgató (a továbbiakban </w:t>
      </w:r>
      <w:r w:rsidRPr="00A66884">
        <w:rPr>
          <w:rFonts w:ascii="Garamond" w:eastAsia="Calibri" w:hAnsi="Garamond" w:cs="Times New Roman"/>
          <w:b/>
          <w:sz w:val="24"/>
          <w:szCs w:val="24"/>
        </w:rPr>
        <w:t>érintett</w:t>
      </w:r>
      <w:r w:rsidRPr="00A66884">
        <w:rPr>
          <w:rFonts w:ascii="Garamond" w:eastAsia="Calibri" w:hAnsi="Garamond" w:cs="Times New Roman"/>
          <w:sz w:val="24"/>
          <w:szCs w:val="24"/>
        </w:rPr>
        <w:t xml:space="preserve">) </w:t>
      </w:r>
      <w:r w:rsidRPr="00A66884">
        <w:rPr>
          <w:rFonts w:ascii="Garamond" w:eastAsia="Calibri" w:hAnsi="Garamond" w:cs="Times New Roman"/>
          <w:b/>
          <w:sz w:val="24"/>
          <w:szCs w:val="24"/>
        </w:rPr>
        <w:t xml:space="preserve">kijelentem, hogy a </w:t>
      </w:r>
      <w:hyperlink r:id="rId9" w:history="1">
        <w:r w:rsidRPr="00A66884">
          <w:rPr>
            <w:rFonts w:ascii="Garamond" w:eastAsia="Calibri" w:hAnsi="Garamond" w:cs="Times New Roman"/>
            <w:b/>
            <w:color w:val="006600"/>
            <w:sz w:val="24"/>
            <w:szCs w:val="24"/>
            <w:u w:val="single"/>
          </w:rPr>
          <w:t>https://adatvedelem.elte.hu/tajekoztatok-sablonok</w:t>
        </w:r>
      </w:hyperlink>
      <w:r w:rsidRPr="00A66884">
        <w:rPr>
          <w:rFonts w:ascii="Garamond" w:eastAsia="Calibri" w:hAnsi="Garamond" w:cs="Times New Roman"/>
          <w:b/>
          <w:sz w:val="24"/>
          <w:szCs w:val="24"/>
        </w:rPr>
        <w:t xml:space="preserve"> oldalon elérhető „Adatvédelmi tájékoztató hallgatói jogviszonyhoz” elnevezésű dokumentum tartalmát a részemre átadott regisztrációs lapon szereplő személyes adatok kezelésére vonatkozóan megismertem, tudomásul vettem és jelen nyilatkozatomat a tájékoztató ismeretében teszem meg. </w:t>
      </w:r>
    </w:p>
    <w:p w14:paraId="441D06E0" w14:textId="77777777" w:rsidR="0041076B" w:rsidRPr="00A66884" w:rsidRDefault="0041076B" w:rsidP="0041076B">
      <w:pPr>
        <w:spacing w:after="0" w:line="240" w:lineRule="auto"/>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Erre tekintettel jelen nyilatkozat aláírásával kifejezetten </w:t>
      </w:r>
    </w:p>
    <w:p w14:paraId="289D9E29" w14:textId="77777777" w:rsidR="0041076B" w:rsidRPr="00A66884" w:rsidRDefault="0041076B" w:rsidP="0041076B">
      <w:pPr>
        <w:numPr>
          <w:ilvl w:val="0"/>
          <w:numId w:val="10"/>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hozzájárulok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41C95C1E" w14:textId="77777777" w:rsidR="0041076B" w:rsidRPr="00A66884" w:rsidRDefault="0041076B" w:rsidP="0041076B">
      <w:pPr>
        <w:numPr>
          <w:ilvl w:val="0"/>
          <w:numId w:val="10"/>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járulok hozzá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64DFC0D7" w14:textId="77777777" w:rsidR="0041076B" w:rsidRPr="00A66884" w:rsidRDefault="0041076B" w:rsidP="0041076B">
      <w:pPr>
        <w:spacing w:before="840" w:after="0" w:line="360" w:lineRule="auto"/>
        <w:jc w:val="center"/>
        <w:rPr>
          <w:rFonts w:ascii="Garamond" w:eastAsia="Calibri" w:hAnsi="Garamond" w:cs="Times New Roman"/>
          <w:sz w:val="24"/>
          <w:szCs w:val="24"/>
        </w:rPr>
      </w:pPr>
      <w:r w:rsidRPr="00A66884">
        <w:rPr>
          <w:rFonts w:ascii="Garamond" w:eastAsia="Calibri" w:hAnsi="Garamond" w:cs="Times New Roman"/>
          <w:sz w:val="24"/>
          <w:szCs w:val="24"/>
        </w:rPr>
        <w:t>……………………………                                                            ……………………………</w:t>
      </w:r>
    </w:p>
    <w:p w14:paraId="76F5DF0E" w14:textId="48A1EA67" w:rsidR="0041076B" w:rsidRDefault="0041076B" w:rsidP="0041076B">
      <w:pPr>
        <w:spacing w:after="0" w:line="240" w:lineRule="auto"/>
        <w:jc w:val="center"/>
        <w:rPr>
          <w:rFonts w:ascii="Garamond" w:eastAsia="Calibri" w:hAnsi="Garamond" w:cs="Times New Roman"/>
          <w:sz w:val="24"/>
          <w:szCs w:val="24"/>
        </w:rPr>
      </w:pPr>
      <w:r w:rsidRPr="00A66884">
        <w:rPr>
          <w:rFonts w:ascii="Garamond" w:eastAsia="Calibri" w:hAnsi="Garamond" w:cs="Times New Roman"/>
          <w:sz w:val="24"/>
          <w:szCs w:val="24"/>
        </w:rPr>
        <w:t>dátum</w:t>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t>aláírás</w:t>
      </w:r>
    </w:p>
    <w:p w14:paraId="517B0BF4" w14:textId="77777777" w:rsidR="0041076B" w:rsidRDefault="0041076B" w:rsidP="0041076B">
      <w:pPr>
        <w:rPr>
          <w:rFonts w:ascii="Garamond" w:eastAsia="Calibri" w:hAnsi="Garamond" w:cs="Times New Roman"/>
          <w:sz w:val="24"/>
          <w:szCs w:val="24"/>
        </w:rPr>
      </w:pPr>
      <w:r>
        <w:rPr>
          <w:rFonts w:ascii="Garamond" w:eastAsia="Calibri" w:hAnsi="Garamond" w:cs="Times New Roman"/>
          <w:sz w:val="24"/>
          <w:szCs w:val="24"/>
        </w:rPr>
        <w:br w:type="page"/>
      </w:r>
    </w:p>
    <w:p w14:paraId="18EA1E66" w14:textId="576997FA" w:rsidR="002B619E" w:rsidRDefault="002B619E" w:rsidP="009C37DB">
      <w:pPr>
        <w:spacing w:before="240"/>
        <w:jc w:val="both"/>
        <w:rPr>
          <w:b/>
          <w:sz w:val="24"/>
        </w:rPr>
      </w:pPr>
      <w:r w:rsidRPr="0075703C">
        <w:rPr>
          <w:b/>
          <w:sz w:val="24"/>
        </w:rPr>
        <w:lastRenderedPageBreak/>
        <w:t>II./2. Speciális Szolgáltatások (</w:t>
      </w:r>
      <w:r w:rsidR="007C5F86" w:rsidRPr="0075703C">
        <w:rPr>
          <w:b/>
          <w:sz w:val="24"/>
        </w:rPr>
        <w:t>Speciális Hallgatói Ügyeket Támogató Iroda – SHÜTI)</w:t>
      </w:r>
      <w:r>
        <w:rPr>
          <w:b/>
          <w:sz w:val="24"/>
        </w:rPr>
        <w:t xml:space="preserve"> </w:t>
      </w:r>
    </w:p>
    <w:p w14:paraId="326F2F6C" w14:textId="74E0D2FD" w:rsidR="00F83FD5" w:rsidRPr="000B3E0B" w:rsidRDefault="00430785" w:rsidP="005547AE">
      <w:pPr>
        <w:jc w:val="both"/>
        <w:rPr>
          <w:b/>
          <w:i/>
          <w:sz w:val="24"/>
        </w:rPr>
      </w:pPr>
      <w:r w:rsidRPr="000B3E0B">
        <w:rPr>
          <w:b/>
          <w:i/>
          <w:sz w:val="24"/>
        </w:rPr>
        <w:t>A Speciális Hallgatói Ügyeket Támogató Iroda szolgáltatásai iránti igényt a SHÜTI kollégáinál lehet jelezni a megadott elérhetőségeken. A szolgáltatásokról a honlapon tájékozódhat.</w:t>
      </w:r>
    </w:p>
    <w:p w14:paraId="2C501E5A" w14:textId="700B22BA" w:rsidR="00430785" w:rsidRPr="00626D55" w:rsidRDefault="0041076B" w:rsidP="007F7D28">
      <w:pPr>
        <w:shd w:val="clear" w:color="auto" w:fill="FFFFFF"/>
        <w:spacing w:before="300" w:after="300" w:line="240" w:lineRule="auto"/>
        <w:rPr>
          <w:color w:val="4F81BD" w:themeColor="accent1"/>
        </w:rPr>
      </w:pPr>
      <w:hyperlink r:id="rId10" w:history="1">
        <w:r w:rsidR="00174B6E" w:rsidRPr="00626D55">
          <w:rPr>
            <w:rStyle w:val="Hiperhivatkozs"/>
            <w:color w:val="4F81BD" w:themeColor="accent1"/>
          </w:rPr>
          <w:t>https://www.elte.hu/eselyegyenloseg</w:t>
        </w:r>
      </w:hyperlink>
      <w:r w:rsidR="00174B6E" w:rsidRPr="00626D55">
        <w:rPr>
          <w:color w:val="4F81BD" w:themeColor="accent1"/>
        </w:rPr>
        <w:t xml:space="preserve"> </w:t>
      </w:r>
    </w:p>
    <w:p w14:paraId="76402C48" w14:textId="46ED2160" w:rsidR="000A512E" w:rsidRDefault="000A512E" w:rsidP="007F7D28">
      <w:pPr>
        <w:shd w:val="clear" w:color="auto" w:fill="FFFFFF"/>
        <w:spacing w:before="300" w:after="300" w:line="240" w:lineRule="auto"/>
        <w:rPr>
          <w:b/>
          <w:bCs/>
          <w:i/>
          <w:iCs/>
        </w:rPr>
      </w:pPr>
      <w:r w:rsidRPr="000A512E">
        <w:rPr>
          <w:b/>
          <w:bCs/>
          <w:i/>
          <w:iCs/>
        </w:rPr>
        <w:t>Tanulási tanácsadás</w:t>
      </w:r>
    </w:p>
    <w:p w14:paraId="122638BE" w14:textId="7C83B20D" w:rsidR="001D54A7" w:rsidRDefault="001D54A7" w:rsidP="007F7D28">
      <w:pPr>
        <w:shd w:val="clear" w:color="auto" w:fill="FFFFFF"/>
        <w:spacing w:before="300" w:after="300" w:line="240" w:lineRule="auto"/>
        <w:rPr>
          <w:b/>
          <w:bCs/>
          <w:i/>
          <w:iCs/>
        </w:rPr>
      </w:pPr>
      <w:r>
        <w:rPr>
          <w:b/>
          <w:bCs/>
          <w:i/>
          <w:iCs/>
        </w:rPr>
        <w:t>Zárt levelezőlista speciális szükségletű hallgatók számára</w:t>
      </w:r>
    </w:p>
    <w:p w14:paraId="6352A790" w14:textId="13CB42FB" w:rsidR="006C7E57" w:rsidRPr="006C7E57" w:rsidRDefault="006C7E57" w:rsidP="007F7D28">
      <w:pPr>
        <w:shd w:val="clear" w:color="auto" w:fill="FFFFFF"/>
        <w:spacing w:before="300" w:after="300" w:line="240" w:lineRule="auto"/>
        <w:rPr>
          <w:bCs/>
          <w:iCs/>
        </w:rPr>
      </w:pPr>
      <w:r w:rsidRPr="006C7E57">
        <w:rPr>
          <w:bCs/>
          <w:iCs/>
        </w:rPr>
        <w:t>Zárt és moderált levelezőlistánkon keresztül igyekszünk hozzád eljuttatni az téged érintő egyetemi felhívásokat, pályázati lehetőségeket, eseményeket, fontos információkat. A regisztrációval automatikusan felkerülsz a levelezőlistára, de van lehetőséged leiratkozni.</w:t>
      </w:r>
    </w:p>
    <w:p w14:paraId="10F6E617" w14:textId="77777777" w:rsidR="00583A44" w:rsidRPr="00583A44" w:rsidRDefault="00583A44" w:rsidP="00583A44">
      <w:pPr>
        <w:shd w:val="clear" w:color="auto" w:fill="FFFFFF"/>
        <w:spacing w:before="300" w:after="300" w:line="240" w:lineRule="auto"/>
      </w:pPr>
      <w:r w:rsidRPr="00583A44">
        <w:rPr>
          <w:b/>
          <w:bCs/>
        </w:rPr>
        <w:t>Kovács Krisztina</w:t>
      </w:r>
      <w:r w:rsidRPr="00583A44">
        <w:t>, egyetemi fogyatékosügyi koordinátor, osztályvezető</w:t>
      </w:r>
    </w:p>
    <w:p w14:paraId="18F5AAB3" w14:textId="789DE553" w:rsidR="00096E9A" w:rsidRPr="0041076B" w:rsidRDefault="00583A44" w:rsidP="0041076B">
      <w:pPr>
        <w:shd w:val="clear" w:color="auto" w:fill="FFFFFF"/>
        <w:spacing w:before="300" w:after="300" w:line="240" w:lineRule="auto"/>
        <w:rPr>
          <w:b/>
          <w:bCs/>
          <w:color w:val="4F81BD" w:themeColor="accent1"/>
          <w:u w:val="single"/>
        </w:rPr>
        <w:sectPr w:rsidR="00096E9A" w:rsidRPr="0041076B" w:rsidSect="006963D5">
          <w:pgSz w:w="11906" w:h="16838"/>
          <w:pgMar w:top="709" w:right="567" w:bottom="567" w:left="567" w:header="709" w:footer="709" w:gutter="0"/>
          <w:cols w:space="708"/>
          <w:docGrid w:linePitch="360"/>
        </w:sectPr>
      </w:pPr>
      <w:r w:rsidRPr="00583A44">
        <w:t>Cím: ELTE BTK, 1088 Budapest, Múzeum krt. 4/A, alagsor 125. </w:t>
      </w:r>
      <w:r w:rsidRPr="00583A44">
        <w:br/>
        <w:t>Telefon: (36 1) 483-8000/2256 </w:t>
      </w:r>
      <w:r w:rsidRPr="00583A44">
        <w:br/>
        <w:t>Mobil: (36) 30-315-7820</w:t>
      </w:r>
      <w:r w:rsidRPr="00583A44">
        <w:br/>
        <w:t>E-mail: </w:t>
      </w:r>
      <w:r w:rsidRPr="0041076B">
        <w:rPr>
          <w:b/>
          <w:bCs/>
        </w:rPr>
        <w:t>kova</w:t>
      </w:r>
      <w:r w:rsidR="0041076B">
        <w:rPr>
          <w:b/>
          <w:bCs/>
        </w:rPr>
        <w:t>cs.krisztina@kancellaria.elte.h</w:t>
      </w:r>
    </w:p>
    <w:p w14:paraId="38C83998" w14:textId="028C9A40" w:rsidR="00486C24" w:rsidRDefault="00486C24" w:rsidP="0041076B">
      <w:pPr>
        <w:spacing w:before="240"/>
        <w:jc w:val="both"/>
      </w:pPr>
      <w:bookmarkStart w:id="1" w:name="_GoBack"/>
      <w:bookmarkEnd w:id="1"/>
    </w:p>
    <w:sectPr w:rsidR="00486C24" w:rsidSect="006963D5">
      <w:footerReference w:type="default" r:id="rId11"/>
      <w:pgSz w:w="11906" w:h="16838"/>
      <w:pgMar w:top="709"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6BBF" w14:textId="77777777" w:rsidR="00A40D05" w:rsidRDefault="00A40D05" w:rsidP="00B43EB2">
      <w:pPr>
        <w:spacing w:after="0" w:line="240" w:lineRule="auto"/>
      </w:pPr>
      <w:r>
        <w:separator/>
      </w:r>
    </w:p>
  </w:endnote>
  <w:endnote w:type="continuationSeparator" w:id="0">
    <w:p w14:paraId="01352C01" w14:textId="77777777" w:rsidR="00A40D05" w:rsidRDefault="00A40D05"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7071" w14:textId="1026E678" w:rsidR="00096E9A" w:rsidRPr="0041076B" w:rsidRDefault="00096E9A" w:rsidP="004107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CB36" w14:textId="77777777" w:rsidR="00A40D05" w:rsidRDefault="00A40D05" w:rsidP="00B43EB2">
      <w:pPr>
        <w:spacing w:after="0" w:line="240" w:lineRule="auto"/>
      </w:pPr>
      <w:r>
        <w:separator/>
      </w:r>
    </w:p>
  </w:footnote>
  <w:footnote w:type="continuationSeparator" w:id="0">
    <w:p w14:paraId="0C9190A5" w14:textId="77777777" w:rsidR="00A40D05" w:rsidRDefault="00A40D05" w:rsidP="00B43EB2">
      <w:pPr>
        <w:spacing w:after="0" w:line="240" w:lineRule="auto"/>
      </w:pPr>
      <w:r>
        <w:continuationSeparator/>
      </w:r>
    </w:p>
  </w:footnote>
  <w:footnote w:id="1">
    <w:p w14:paraId="60F2CD25" w14:textId="631AE3EE" w:rsidR="00626D55" w:rsidRDefault="00626D55" w:rsidP="00096E9A">
      <w:pPr>
        <w:pStyle w:val="Lbjegyzetszveg"/>
        <w:jc w:val="both"/>
      </w:pPr>
      <w:r>
        <w:rPr>
          <w:rStyle w:val="Lbjegyzet-hivatkozs"/>
        </w:rPr>
        <w:footnoteRef/>
      </w:r>
      <w:r>
        <w:t xml:space="preserve"> </w:t>
      </w:r>
      <w:r w:rsidRPr="002F0EAC">
        <w:rPr>
          <w:sz w:val="18"/>
          <w:szCs w:val="18"/>
        </w:rPr>
        <w:t>ELTE SZMSZ II. kötet HKR 210. (3) „A speciális szükségletű hallgató a tréning jellegű foglalkozások kivételével a kurzusokon hangfelvételt készíthet, azt azonban csak saját tanulmányai során és azokkal összefüggésben használhatja fel. Az oktató és a kurzus résztvevői részére a hangfelvétel készítését előre be kell jelenteni.”</w:t>
      </w:r>
    </w:p>
  </w:footnote>
  <w:footnote w:id="2">
    <w:p w14:paraId="76BDBB16" w14:textId="31A4EB45" w:rsidR="00626D55" w:rsidRDefault="00626D55" w:rsidP="00096E9A">
      <w:pPr>
        <w:pStyle w:val="Lbjegyzetszveg"/>
        <w:jc w:val="both"/>
      </w:pPr>
      <w:r>
        <w:rPr>
          <w:rStyle w:val="Lbjegyzet-hivatkozs"/>
        </w:rPr>
        <w:footnoteRef/>
      </w:r>
      <w:r>
        <w:t xml:space="preserve"> </w:t>
      </w:r>
      <w:r w:rsidRPr="002F0EAC">
        <w:rPr>
          <w:sz w:val="18"/>
          <w:szCs w:val="18"/>
        </w:rPr>
        <w:t>ELTE SZMSZ II. kötet HKR 210. (</w:t>
      </w:r>
      <w:r>
        <w:rPr>
          <w:sz w:val="18"/>
          <w:szCs w:val="18"/>
        </w:rPr>
        <w:t>2</w:t>
      </w:r>
      <w:r w:rsidRPr="002F0EAC">
        <w:rPr>
          <w:sz w:val="18"/>
          <w:szCs w:val="18"/>
        </w:rPr>
        <w:t>)</w:t>
      </w:r>
      <w:r>
        <w:t xml:space="preserve"> </w:t>
      </w:r>
      <w:r w:rsidRPr="0035091D">
        <w:rPr>
          <w:sz w:val="18"/>
          <w:szCs w:val="18"/>
        </w:rPr>
        <w:t>„A nyomtatott, papíralapú információszerzésben, a tananyag elolvasásában akadályozott hallgató kérése alapján a kari koordinátor kezdeményezésére az egyetem gondoskodik a megfelelő formátumú digitális tananyag biztosításáról.”</w:t>
      </w:r>
    </w:p>
  </w:footnote>
  <w:footnote w:id="3">
    <w:p w14:paraId="38D0B94A" w14:textId="64D4CAF9" w:rsidR="00626D55" w:rsidRDefault="00626D55" w:rsidP="00096E9A">
      <w:pPr>
        <w:pStyle w:val="Lbjegyzetszveg"/>
        <w:jc w:val="both"/>
      </w:pPr>
      <w:r>
        <w:rPr>
          <w:rStyle w:val="Lbjegyzet-hivatkozs"/>
        </w:rPr>
        <w:footnoteRef/>
      </w:r>
      <w:r>
        <w:t xml:space="preserve"> </w:t>
      </w:r>
      <w:r w:rsidRPr="0035091D">
        <w:rPr>
          <w:sz w:val="18"/>
          <w:szCs w:val="18"/>
        </w:rPr>
        <w:t>(Vhr1. 62.§ 8) „A hosszabb felkészülési időt a nem fogyatékossággal élő hallgatókra megállapított időtartamhoz képest legalább 30%-kal hosszabb időtartamban kell megállapítani.”</w:t>
      </w:r>
    </w:p>
  </w:footnote>
  <w:footnote w:id="4">
    <w:p w14:paraId="3D733E4B" w14:textId="77777777" w:rsidR="00096E9A" w:rsidRDefault="00096E9A" w:rsidP="00096E9A">
      <w:pPr>
        <w:pStyle w:val="Lbjegyzetszveg"/>
        <w:jc w:val="both"/>
        <w:rPr>
          <w:sz w:val="18"/>
          <w:szCs w:val="18"/>
        </w:rPr>
      </w:pPr>
      <w:r>
        <w:rPr>
          <w:rStyle w:val="Lbjegyzet-hivatkozs"/>
        </w:rPr>
        <w:footnoteRef/>
      </w:r>
      <w:r>
        <w:t xml:space="preserve"> ELTE SZMSZ II. kötet HKR 41/B. § (6) Mentesül az átsorolás alól c) a regisztrált, speciális szükségletű hallgató.</w:t>
      </w:r>
    </w:p>
  </w:footnote>
  <w:footnote w:id="5">
    <w:p w14:paraId="0929A2A2" w14:textId="77777777" w:rsidR="00096E9A" w:rsidRDefault="00096E9A" w:rsidP="00096E9A">
      <w:pPr>
        <w:pStyle w:val="Lbjegyzetszveg"/>
        <w:jc w:val="both"/>
      </w:pPr>
      <w:r>
        <w:rPr>
          <w:rStyle w:val="Lbjegyzet-hivatkozs"/>
        </w:rPr>
        <w:footnoteRef/>
      </w:r>
      <w:r>
        <w:t xml:space="preserve"> </w:t>
      </w:r>
      <w:r>
        <w:rPr>
          <w:sz w:val="18"/>
          <w:szCs w:val="18"/>
        </w:rPr>
        <w:t>(Nftv. 47. §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15:restartNumberingAfterBreak="0">
    <w:nsid w:val="2F725621"/>
    <w:multiLevelType w:val="hybridMultilevel"/>
    <w:tmpl w:val="5F28D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 w15:restartNumberingAfterBreak="0">
    <w:nsid w:val="402C0814"/>
    <w:multiLevelType w:val="hybridMultilevel"/>
    <w:tmpl w:val="4808E064"/>
    <w:lvl w:ilvl="0" w:tplc="FF0895E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442522"/>
    <w:multiLevelType w:val="hybridMultilevel"/>
    <w:tmpl w:val="23469CB0"/>
    <w:lvl w:ilvl="0" w:tplc="55948BA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de-DE"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59"/>
    <w:rsid w:val="000467EE"/>
    <w:rsid w:val="00096E9A"/>
    <w:rsid w:val="000A512E"/>
    <w:rsid w:val="000B0EB7"/>
    <w:rsid w:val="000B3E0B"/>
    <w:rsid w:val="000C09D1"/>
    <w:rsid w:val="000F3100"/>
    <w:rsid w:val="001025A3"/>
    <w:rsid w:val="00174B6E"/>
    <w:rsid w:val="0018222A"/>
    <w:rsid w:val="001872C6"/>
    <w:rsid w:val="001C0866"/>
    <w:rsid w:val="001D54A7"/>
    <w:rsid w:val="00232905"/>
    <w:rsid w:val="00233C81"/>
    <w:rsid w:val="00234561"/>
    <w:rsid w:val="0024559C"/>
    <w:rsid w:val="00255EB3"/>
    <w:rsid w:val="00257BA7"/>
    <w:rsid w:val="00272033"/>
    <w:rsid w:val="00287EDB"/>
    <w:rsid w:val="002B619E"/>
    <w:rsid w:val="002B6BAF"/>
    <w:rsid w:val="002C70C7"/>
    <w:rsid w:val="002C7A79"/>
    <w:rsid w:val="002E731A"/>
    <w:rsid w:val="003664C4"/>
    <w:rsid w:val="00373780"/>
    <w:rsid w:val="00382A9A"/>
    <w:rsid w:val="003B3B01"/>
    <w:rsid w:val="003D3D7C"/>
    <w:rsid w:val="003E2411"/>
    <w:rsid w:val="003E6175"/>
    <w:rsid w:val="00403BA8"/>
    <w:rsid w:val="0040492F"/>
    <w:rsid w:val="0041076B"/>
    <w:rsid w:val="00430785"/>
    <w:rsid w:val="0044148A"/>
    <w:rsid w:val="004506BE"/>
    <w:rsid w:val="00486C24"/>
    <w:rsid w:val="00492A5D"/>
    <w:rsid w:val="004D1B53"/>
    <w:rsid w:val="004F49CC"/>
    <w:rsid w:val="00546F9E"/>
    <w:rsid w:val="00553375"/>
    <w:rsid w:val="005547AE"/>
    <w:rsid w:val="005606B5"/>
    <w:rsid w:val="00565BB8"/>
    <w:rsid w:val="00577D67"/>
    <w:rsid w:val="00583A44"/>
    <w:rsid w:val="00585497"/>
    <w:rsid w:val="005C38F9"/>
    <w:rsid w:val="005D2898"/>
    <w:rsid w:val="005E3279"/>
    <w:rsid w:val="005F288A"/>
    <w:rsid w:val="0061233B"/>
    <w:rsid w:val="00626D55"/>
    <w:rsid w:val="00636972"/>
    <w:rsid w:val="006526A6"/>
    <w:rsid w:val="0065348C"/>
    <w:rsid w:val="00660357"/>
    <w:rsid w:val="00677739"/>
    <w:rsid w:val="0068129C"/>
    <w:rsid w:val="0068196C"/>
    <w:rsid w:val="00686C50"/>
    <w:rsid w:val="006963D5"/>
    <w:rsid w:val="006A4BDE"/>
    <w:rsid w:val="006C7E57"/>
    <w:rsid w:val="006E38AC"/>
    <w:rsid w:val="006F2C3F"/>
    <w:rsid w:val="0075703C"/>
    <w:rsid w:val="00782C7D"/>
    <w:rsid w:val="007B3D7F"/>
    <w:rsid w:val="007C5F86"/>
    <w:rsid w:val="007F7D28"/>
    <w:rsid w:val="00803175"/>
    <w:rsid w:val="00877FEF"/>
    <w:rsid w:val="00896159"/>
    <w:rsid w:val="008A4D38"/>
    <w:rsid w:val="008B41DE"/>
    <w:rsid w:val="008C2C0C"/>
    <w:rsid w:val="009252C4"/>
    <w:rsid w:val="00931048"/>
    <w:rsid w:val="00955F1A"/>
    <w:rsid w:val="0097468D"/>
    <w:rsid w:val="009C0655"/>
    <w:rsid w:val="009C195F"/>
    <w:rsid w:val="009C37DB"/>
    <w:rsid w:val="009F56F6"/>
    <w:rsid w:val="00A40D05"/>
    <w:rsid w:val="00A41674"/>
    <w:rsid w:val="00A73F21"/>
    <w:rsid w:val="00A7727F"/>
    <w:rsid w:val="00A950D0"/>
    <w:rsid w:val="00AA1E83"/>
    <w:rsid w:val="00AD7215"/>
    <w:rsid w:val="00AE6A57"/>
    <w:rsid w:val="00AF2C1B"/>
    <w:rsid w:val="00B242EA"/>
    <w:rsid w:val="00B4062C"/>
    <w:rsid w:val="00B4254D"/>
    <w:rsid w:val="00B43EB2"/>
    <w:rsid w:val="00B51330"/>
    <w:rsid w:val="00B51BEC"/>
    <w:rsid w:val="00B64A42"/>
    <w:rsid w:val="00B73278"/>
    <w:rsid w:val="00BC31E4"/>
    <w:rsid w:val="00C14DA6"/>
    <w:rsid w:val="00C35A6C"/>
    <w:rsid w:val="00C46A73"/>
    <w:rsid w:val="00C46D83"/>
    <w:rsid w:val="00C6652F"/>
    <w:rsid w:val="00C70E35"/>
    <w:rsid w:val="00C71396"/>
    <w:rsid w:val="00CE0DE7"/>
    <w:rsid w:val="00CF3435"/>
    <w:rsid w:val="00D227C5"/>
    <w:rsid w:val="00D26440"/>
    <w:rsid w:val="00D53E92"/>
    <w:rsid w:val="00D75043"/>
    <w:rsid w:val="00D827CD"/>
    <w:rsid w:val="00D97B8D"/>
    <w:rsid w:val="00DA6DA1"/>
    <w:rsid w:val="00DC13C2"/>
    <w:rsid w:val="00DC6B38"/>
    <w:rsid w:val="00DD0748"/>
    <w:rsid w:val="00E03B83"/>
    <w:rsid w:val="00E056CF"/>
    <w:rsid w:val="00E630C2"/>
    <w:rsid w:val="00E75F6A"/>
    <w:rsid w:val="00EB5899"/>
    <w:rsid w:val="00EE34FA"/>
    <w:rsid w:val="00F14FE7"/>
    <w:rsid w:val="00F44B3E"/>
    <w:rsid w:val="00F47E1A"/>
    <w:rsid w:val="00F61E26"/>
    <w:rsid w:val="00F7012E"/>
    <w:rsid w:val="00F83FD5"/>
    <w:rsid w:val="00FC3C53"/>
    <w:rsid w:val="00FD0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91F"/>
  <w15:docId w15:val="{4AC9442E-262F-4666-A876-172C7CE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 w:type="table" w:styleId="Rcsostblzat">
    <w:name w:val="Table Grid"/>
    <w:basedOn w:val="Normltblzat"/>
    <w:uiPriority w:val="59"/>
    <w:rsid w:val="0028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40492F"/>
    <w:rPr>
      <w:color w:val="605E5C"/>
      <w:shd w:val="clear" w:color="auto" w:fill="E1DFDD"/>
    </w:rPr>
  </w:style>
  <w:style w:type="paragraph" w:styleId="Vgjegyzetszvege">
    <w:name w:val="endnote text"/>
    <w:basedOn w:val="Norml"/>
    <w:link w:val="VgjegyzetszvegeChar"/>
    <w:uiPriority w:val="99"/>
    <w:semiHidden/>
    <w:unhideWhenUsed/>
    <w:rsid w:val="00626D55"/>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626D55"/>
    <w:rPr>
      <w:sz w:val="20"/>
      <w:szCs w:val="20"/>
    </w:rPr>
  </w:style>
  <w:style w:type="character" w:styleId="Vgjegyzet-hivatkozs">
    <w:name w:val="endnote reference"/>
    <w:basedOn w:val="Bekezdsalapbettpusa"/>
    <w:uiPriority w:val="99"/>
    <w:semiHidden/>
    <w:unhideWhenUsed/>
    <w:rsid w:val="00626D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7270">
      <w:bodyDiv w:val="1"/>
      <w:marLeft w:val="0"/>
      <w:marRight w:val="0"/>
      <w:marTop w:val="0"/>
      <w:marBottom w:val="0"/>
      <w:divBdr>
        <w:top w:val="none" w:sz="0" w:space="0" w:color="auto"/>
        <w:left w:val="none" w:sz="0" w:space="0" w:color="auto"/>
        <w:bottom w:val="none" w:sz="0" w:space="0" w:color="auto"/>
        <w:right w:val="none" w:sz="0" w:space="0" w:color="auto"/>
      </w:divBdr>
    </w:div>
    <w:div w:id="309554188">
      <w:bodyDiv w:val="1"/>
      <w:marLeft w:val="0"/>
      <w:marRight w:val="0"/>
      <w:marTop w:val="0"/>
      <w:marBottom w:val="0"/>
      <w:divBdr>
        <w:top w:val="none" w:sz="0" w:space="0" w:color="auto"/>
        <w:left w:val="none" w:sz="0" w:space="0" w:color="auto"/>
        <w:bottom w:val="none" w:sz="0" w:space="0" w:color="auto"/>
        <w:right w:val="none" w:sz="0" w:space="0" w:color="auto"/>
      </w:divBdr>
    </w:div>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 w:id="1315600490">
      <w:bodyDiv w:val="1"/>
      <w:marLeft w:val="0"/>
      <w:marRight w:val="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selyegyenloseg/tanul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lte.hu/eselyegyenloseg" TargetMode="External"/><Relationship Id="rId4" Type="http://schemas.openxmlformats.org/officeDocument/2006/relationships/settings" Target="settings.xml"/><Relationship Id="rId9" Type="http://schemas.openxmlformats.org/officeDocument/2006/relationships/hyperlink" Target="https://adatvedelem.elte.hu/tajekoztatok-sablon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7A5A-BB9E-481D-B74C-5FBDF904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5401</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Matolcsi Rita</dc:creator>
  <cp:lastModifiedBy>Windows-felhasználó</cp:lastModifiedBy>
  <cp:revision>2</cp:revision>
  <cp:lastPrinted>2021-10-20T10:02:00Z</cp:lastPrinted>
  <dcterms:created xsi:type="dcterms:W3CDTF">2022-05-24T04:09:00Z</dcterms:created>
  <dcterms:modified xsi:type="dcterms:W3CDTF">2022-05-24T04:09:00Z</dcterms:modified>
</cp:coreProperties>
</file>