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C6339" w14:textId="77777777" w:rsidR="00515A17" w:rsidRPr="00B713C0" w:rsidRDefault="00DF2BF7">
      <w:pPr>
        <w:rPr>
          <w:lang w:val="en-GB"/>
        </w:rPr>
      </w:pPr>
      <w:r w:rsidRPr="00B713C0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3C0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7576D" w14:textId="77777777" w:rsidR="00515A17" w:rsidRPr="00B713C0" w:rsidRDefault="00515A17">
      <w:pPr>
        <w:rPr>
          <w:lang w:val="en-GB"/>
        </w:rPr>
      </w:pPr>
    </w:p>
    <w:p w14:paraId="4381C2A5" w14:textId="1FD6AC5F" w:rsidR="00912BBE" w:rsidRPr="00B713C0" w:rsidRDefault="00396876" w:rsidP="003B2AE7">
      <w:pPr>
        <w:pStyle w:val="Cmsor1"/>
        <w:spacing w:line="240" w:lineRule="auto"/>
        <w:ind w:left="2124" w:firstLine="708"/>
        <w:jc w:val="center"/>
        <w:rPr>
          <w:rFonts w:asciiTheme="minorHAnsi" w:hAnsiTheme="minorHAnsi"/>
          <w:smallCaps/>
          <w:sz w:val="32"/>
          <w:szCs w:val="32"/>
          <w:lang w:val="en-GB"/>
        </w:rPr>
      </w:pPr>
      <w:r w:rsidRPr="00B713C0">
        <w:rPr>
          <w:rFonts w:asciiTheme="minorHAnsi" w:hAnsiTheme="minorHAnsi"/>
          <w:smallCaps/>
          <w:sz w:val="32"/>
          <w:szCs w:val="32"/>
          <w:lang w:val="en-GB"/>
        </w:rPr>
        <w:t>Call for application</w:t>
      </w:r>
      <w:r w:rsidR="00DE6C1F">
        <w:rPr>
          <w:rFonts w:asciiTheme="minorHAnsi" w:hAnsiTheme="minorHAnsi"/>
          <w:smallCaps/>
          <w:sz w:val="32"/>
          <w:szCs w:val="32"/>
          <w:lang w:val="en-GB"/>
        </w:rPr>
        <w:t>s</w:t>
      </w:r>
    </w:p>
    <w:p w14:paraId="1CEC678F" w14:textId="2F97A091" w:rsidR="00396876" w:rsidRPr="00B713C0" w:rsidRDefault="00396876" w:rsidP="002768B3">
      <w:pPr>
        <w:pStyle w:val="Cmsor2"/>
        <w:spacing w:line="240" w:lineRule="auto"/>
        <w:jc w:val="center"/>
        <w:rPr>
          <w:rFonts w:asciiTheme="minorHAnsi" w:hAnsiTheme="minorHAnsi"/>
          <w:lang w:val="en-GB"/>
        </w:rPr>
      </w:pPr>
      <w:r w:rsidRPr="00B713C0">
        <w:rPr>
          <w:rFonts w:asciiTheme="minorHAnsi" w:hAnsiTheme="minorHAnsi"/>
          <w:lang w:val="en-GB"/>
        </w:rPr>
        <w:t>Additional financial support for students and staff with disabilities or long-term illnesses participating in the Erasmus</w:t>
      </w:r>
      <w:r w:rsidR="00DE6C1F">
        <w:rPr>
          <w:rFonts w:asciiTheme="minorHAnsi" w:hAnsiTheme="minorHAnsi"/>
          <w:lang w:val="en-GB"/>
        </w:rPr>
        <w:t>+</w:t>
      </w:r>
      <w:r w:rsidRPr="00B713C0">
        <w:rPr>
          <w:rFonts w:asciiTheme="minorHAnsi" w:hAnsiTheme="minorHAnsi"/>
          <w:lang w:val="en-GB"/>
        </w:rPr>
        <w:t xml:space="preserve"> program</w:t>
      </w:r>
    </w:p>
    <w:p w14:paraId="16262A2F" w14:textId="3AC3034D" w:rsidR="00C72DFC" w:rsidRPr="00B713C0" w:rsidRDefault="002C73BD" w:rsidP="007B0A67">
      <w:pPr>
        <w:pStyle w:val="Cmsor2"/>
        <w:spacing w:line="240" w:lineRule="auto"/>
        <w:jc w:val="center"/>
        <w:rPr>
          <w:rFonts w:asciiTheme="minorHAnsi" w:hAnsiTheme="minorHAnsi"/>
          <w:lang w:val="en-GB"/>
        </w:rPr>
      </w:pPr>
      <w:r w:rsidRPr="00343A49">
        <w:rPr>
          <w:rFonts w:asciiTheme="minorHAnsi" w:hAnsiTheme="minorHAnsi"/>
          <w:lang w:val="en-GB"/>
        </w:rPr>
        <w:t>202</w:t>
      </w:r>
      <w:r w:rsidR="00B225F6">
        <w:rPr>
          <w:rFonts w:asciiTheme="minorHAnsi" w:hAnsiTheme="minorHAnsi"/>
          <w:lang w:val="en-GB"/>
        </w:rPr>
        <w:t>5</w:t>
      </w:r>
      <w:r w:rsidRPr="00343A49">
        <w:rPr>
          <w:rFonts w:asciiTheme="minorHAnsi" w:hAnsiTheme="minorHAnsi"/>
          <w:lang w:val="en-GB"/>
        </w:rPr>
        <w:t>/</w:t>
      </w:r>
      <w:r w:rsidR="00133A0A" w:rsidRPr="00343A49">
        <w:rPr>
          <w:rFonts w:asciiTheme="minorHAnsi" w:hAnsiTheme="minorHAnsi"/>
          <w:lang w:val="en-GB"/>
        </w:rPr>
        <w:t>20</w:t>
      </w:r>
      <w:r w:rsidRPr="00343A49">
        <w:rPr>
          <w:rFonts w:asciiTheme="minorHAnsi" w:hAnsiTheme="minorHAnsi"/>
          <w:lang w:val="en-GB"/>
        </w:rPr>
        <w:t>2</w:t>
      </w:r>
      <w:r w:rsidR="00B225F6">
        <w:rPr>
          <w:rFonts w:asciiTheme="minorHAnsi" w:hAnsiTheme="minorHAnsi"/>
          <w:lang w:val="en-GB"/>
        </w:rPr>
        <w:t>6</w:t>
      </w:r>
      <w:r w:rsidRPr="002C73BD">
        <w:rPr>
          <w:rFonts w:asciiTheme="minorHAnsi" w:hAnsiTheme="minorHAnsi"/>
          <w:color w:val="FF0000"/>
          <w:lang w:val="en-GB"/>
        </w:rPr>
        <w:t xml:space="preserve"> </w:t>
      </w:r>
      <w:r w:rsidR="00396876" w:rsidRPr="00B713C0">
        <w:rPr>
          <w:rFonts w:asciiTheme="minorHAnsi" w:hAnsiTheme="minorHAnsi"/>
          <w:lang w:val="en-GB"/>
        </w:rPr>
        <w:t>academic year</w:t>
      </w:r>
    </w:p>
    <w:p w14:paraId="512D1AB3" w14:textId="77777777" w:rsidR="004460D6" w:rsidRPr="00B713C0" w:rsidRDefault="004460D6" w:rsidP="002768B3">
      <w:pPr>
        <w:spacing w:line="240" w:lineRule="auto"/>
        <w:rPr>
          <w:smallCaps/>
          <w:lang w:val="en-GB"/>
        </w:rPr>
      </w:pPr>
    </w:p>
    <w:p w14:paraId="4BC3706C" w14:textId="2D205069" w:rsidR="004460D6" w:rsidRPr="00B713C0" w:rsidRDefault="008A7297" w:rsidP="00796ED7">
      <w:pPr>
        <w:pStyle w:val="Szvegtrzs"/>
        <w:spacing w:after="0"/>
        <w:jc w:val="both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Eötvös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Loránd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University</w:t>
      </w:r>
      <w:r w:rsidR="00241EF7"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and</w:t>
      </w:r>
      <w:r w:rsidR="00F67431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241EF7"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Tempus Public Foundation are </w:t>
      </w:r>
      <w:r w:rsidR="00F13435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inviting applications</w:t>
      </w:r>
      <w:r w:rsidR="00241EF7"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for additional support for students or staff with disabilities or long-term illnesses studying/working in higher education who have won an Erasmus</w:t>
      </w:r>
      <w:r w:rsidR="007E2E47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+</w:t>
      </w:r>
      <w:r w:rsidR="00241EF7"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mobility scholarship in the </w:t>
      </w:r>
      <w:r w:rsidR="002C73BD" w:rsidRPr="00343A4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>202</w:t>
      </w:r>
      <w:r w:rsidR="00B225F6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>5</w:t>
      </w:r>
      <w:r w:rsidR="002C73BD" w:rsidRPr="00343A4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>/2</w:t>
      </w:r>
      <w:r w:rsidR="00B225F6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>6</w:t>
      </w:r>
      <w:r w:rsidR="002C73BD" w:rsidRPr="00343A4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 xml:space="preserve"> </w:t>
      </w:r>
      <w:r w:rsidR="00241EF7" w:rsidRPr="00343A4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 xml:space="preserve">academic </w:t>
      </w:r>
      <w:r w:rsidR="00241EF7"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year. The aim of the </w:t>
      </w:r>
      <w:r w:rsidR="00F67431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additional support</w:t>
      </w:r>
      <w:r w:rsidR="00241EF7"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is to provide equal opportunities in the field of higher education for </w:t>
      </w:r>
      <w:r w:rsidR="0078468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outgoing participants</w:t>
      </w:r>
      <w:r w:rsidR="00241EF7"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with special needs in the Erasmus</w:t>
      </w:r>
      <w:r w:rsidR="00784689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+</w:t>
      </w:r>
      <w:r w:rsidR="00241EF7"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program.</w:t>
      </w:r>
    </w:p>
    <w:p w14:paraId="728160C6" w14:textId="77777777" w:rsidR="00241EF7" w:rsidRPr="00B713C0" w:rsidRDefault="00241EF7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23BCBD1F" w14:textId="6D6AE41D" w:rsidR="007F7CB3" w:rsidRPr="00B713C0" w:rsidRDefault="00D1320A" w:rsidP="00796ED7">
      <w:pPr>
        <w:pStyle w:val="Cmsor2"/>
        <w:spacing w:before="0" w:line="240" w:lineRule="auto"/>
        <w:jc w:val="both"/>
        <w:rPr>
          <w:rFonts w:asciiTheme="minorHAnsi" w:hAnsiTheme="minorHAnsi"/>
          <w:lang w:val="en-GB"/>
        </w:rPr>
      </w:pPr>
      <w:r w:rsidRPr="00B713C0">
        <w:rPr>
          <w:rFonts w:asciiTheme="minorHAnsi" w:hAnsiTheme="minorHAnsi"/>
          <w:lang w:val="en-GB"/>
        </w:rPr>
        <w:t>Who can apply?</w:t>
      </w:r>
    </w:p>
    <w:p w14:paraId="5D94458F" w14:textId="7050684D" w:rsidR="002C73BD" w:rsidRPr="00343A49" w:rsidRDefault="00A73918" w:rsidP="00AD33EE">
      <w:pPr>
        <w:pStyle w:val="Szvegtrzs"/>
        <w:spacing w:after="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B713C0">
        <w:rPr>
          <w:rFonts w:asciiTheme="minorHAnsi" w:hAnsiTheme="minorHAnsi"/>
          <w:b/>
          <w:bCs/>
          <w:sz w:val="22"/>
          <w:szCs w:val="22"/>
          <w:lang w:val="en-GB"/>
        </w:rPr>
        <w:t>Students and staff who have won an Erasmus</w:t>
      </w:r>
      <w:r w:rsidR="006F5655">
        <w:rPr>
          <w:rFonts w:asciiTheme="minorHAnsi" w:hAnsiTheme="minorHAnsi"/>
          <w:b/>
          <w:bCs/>
          <w:sz w:val="22"/>
          <w:szCs w:val="22"/>
          <w:lang w:val="en-GB"/>
        </w:rPr>
        <w:t>+</w:t>
      </w:r>
      <w:r w:rsidRPr="00B713C0">
        <w:rPr>
          <w:rFonts w:asciiTheme="minorHAnsi" w:hAnsiTheme="minorHAnsi"/>
          <w:b/>
          <w:bCs/>
          <w:sz w:val="22"/>
          <w:szCs w:val="22"/>
          <w:lang w:val="en-GB"/>
        </w:rPr>
        <w:t xml:space="preserve"> scholarship</w:t>
      </w:r>
      <w:r w:rsidRPr="00B713C0">
        <w:rPr>
          <w:rFonts w:asciiTheme="minorHAnsi" w:hAnsiTheme="minorHAnsi"/>
          <w:sz w:val="22"/>
          <w:szCs w:val="22"/>
          <w:lang w:val="en-GB"/>
        </w:rPr>
        <w:t xml:space="preserve"> for the </w:t>
      </w:r>
      <w:r w:rsidR="002C73BD" w:rsidRPr="00343A4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>202</w:t>
      </w:r>
      <w:r w:rsidR="00B225F6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>5</w:t>
      </w:r>
      <w:r w:rsidR="002C73BD" w:rsidRPr="00343A4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>/2</w:t>
      </w:r>
      <w:r w:rsidR="00B225F6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>6</w:t>
      </w:r>
      <w:r w:rsidR="00D242AC" w:rsidRPr="00343A4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 xml:space="preserve"> </w:t>
      </w:r>
      <w:r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academic </w:t>
      </w:r>
      <w:r w:rsidRPr="00B713C0">
        <w:rPr>
          <w:rFonts w:asciiTheme="minorHAnsi" w:hAnsiTheme="minorHAnsi"/>
          <w:sz w:val="22"/>
          <w:szCs w:val="22"/>
          <w:lang w:val="en-GB"/>
        </w:rPr>
        <w:t xml:space="preserve">year are eligible to apply if they have a </w:t>
      </w:r>
      <w:r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disability </w:t>
      </w:r>
      <w:r w:rsidR="00225C13"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(e.g. </w:t>
      </w:r>
      <w:r w:rsidR="002C73BD"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visually impaired, </w:t>
      </w:r>
      <w:r w:rsidR="00E30495"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>physically disabled</w:t>
      </w:r>
      <w:r w:rsidR="002C73BD"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>, hearing impaired, diabetic, lactose or gluten intolerant</w:t>
      </w:r>
      <w:r w:rsidR="00225C13"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or other Erasmus+ participants with other medical condition</w:t>
      </w:r>
      <w:r w:rsidR="00E30495"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>s</w:t>
      </w:r>
      <w:r w:rsidR="00225C13"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) </w:t>
      </w:r>
      <w:r w:rsidR="002C73BD"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>and</w:t>
      </w:r>
    </w:p>
    <w:p w14:paraId="72589659" w14:textId="3F5C2A82" w:rsidR="002C73BD" w:rsidRPr="00343A49" w:rsidRDefault="002C73BD" w:rsidP="002C73BD">
      <w:pPr>
        <w:pStyle w:val="Szvegtrzs"/>
        <w:numPr>
          <w:ilvl w:val="0"/>
          <w:numId w:val="34"/>
        </w:numPr>
        <w:spacing w:after="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their condition causes a verifiable additional cost of living abroad</w:t>
      </w:r>
      <w:r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 compared to the average cost of living abroad,</w:t>
      </w:r>
    </w:p>
    <w:p w14:paraId="4B8CC65F" w14:textId="708AF5B1" w:rsidR="002C73BD" w:rsidRPr="00343A49" w:rsidRDefault="002C73BD" w:rsidP="002C73BD">
      <w:pPr>
        <w:pStyle w:val="Szvegtrzs"/>
        <w:spacing w:after="0"/>
        <w:ind w:left="720"/>
        <w:jc w:val="both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or </w:t>
      </w:r>
    </w:p>
    <w:p w14:paraId="5C1907E2" w14:textId="5FB61183" w:rsidR="002C73BD" w:rsidRPr="00343A49" w:rsidRDefault="00E30495" w:rsidP="002C73BD">
      <w:pPr>
        <w:pStyle w:val="Szvegtrzs"/>
        <w:numPr>
          <w:ilvl w:val="0"/>
          <w:numId w:val="34"/>
        </w:numPr>
        <w:spacing w:after="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 xml:space="preserve">their disability may be a </w:t>
      </w:r>
      <w:r w:rsidR="002C73BD" w:rsidRPr="00343A49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disadvanta</w:t>
      </w:r>
      <w:r w:rsidRPr="00343A49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>ge</w:t>
      </w:r>
      <w:r w:rsidR="002C73BD" w:rsidRPr="00343A49">
        <w:rPr>
          <w:rFonts w:asciiTheme="minorHAnsi" w:hAnsiTheme="minorHAnsi"/>
          <w:b/>
          <w:bCs/>
          <w:color w:val="000000" w:themeColor="text1"/>
          <w:sz w:val="22"/>
          <w:szCs w:val="22"/>
          <w:lang w:val="en-GB"/>
        </w:rPr>
        <w:t xml:space="preserve"> in their participation in Erasmus+ mobility.</w:t>
      </w:r>
    </w:p>
    <w:p w14:paraId="70AC39E3" w14:textId="77777777" w:rsidR="00AD33EE" w:rsidRPr="00B713C0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DE4D24F" w14:textId="61A46B86" w:rsidR="00B758D7" w:rsidRDefault="004460D6" w:rsidP="00B758D7">
      <w:pPr>
        <w:pStyle w:val="Cmsor2"/>
        <w:spacing w:before="0" w:line="240" w:lineRule="auto"/>
        <w:jc w:val="both"/>
        <w:rPr>
          <w:rFonts w:asciiTheme="minorHAnsi" w:hAnsiTheme="minorHAnsi"/>
          <w:lang w:val="en-GB"/>
        </w:rPr>
      </w:pPr>
      <w:r w:rsidRPr="00B713C0">
        <w:rPr>
          <w:rFonts w:asciiTheme="minorHAnsi" w:hAnsiTheme="minorHAnsi"/>
          <w:lang w:val="en-GB"/>
        </w:rPr>
        <w:t xml:space="preserve"> </w:t>
      </w:r>
      <w:r w:rsidR="00510CFD" w:rsidRPr="00B713C0">
        <w:rPr>
          <w:rFonts w:asciiTheme="minorHAnsi" w:hAnsiTheme="minorHAnsi"/>
          <w:lang w:val="en-GB"/>
        </w:rPr>
        <w:t>What costs are eligible?</w:t>
      </w:r>
    </w:p>
    <w:p w14:paraId="474771CA" w14:textId="7D4AA69B" w:rsidR="00946070" w:rsidRPr="00343A49" w:rsidRDefault="00E30495" w:rsidP="00343A49">
      <w:pPr>
        <w:pStyle w:val="Listaszerbekezds"/>
        <w:numPr>
          <w:ilvl w:val="0"/>
          <w:numId w:val="34"/>
        </w:numPr>
        <w:jc w:val="both"/>
        <w:rPr>
          <w:color w:val="000000" w:themeColor="text1"/>
          <w:lang w:val="en-GB"/>
        </w:rPr>
      </w:pPr>
      <w:r w:rsidRPr="00343A49">
        <w:rPr>
          <w:color w:val="000000" w:themeColor="text1"/>
          <w:lang w:val="en-GB"/>
        </w:rPr>
        <w:t>Students intending</w:t>
      </w:r>
      <w:r w:rsidR="00946070" w:rsidRPr="00343A49">
        <w:rPr>
          <w:color w:val="000000" w:themeColor="text1"/>
          <w:lang w:val="en-GB"/>
        </w:rPr>
        <w:t xml:space="preserve"> to apply for </w:t>
      </w:r>
      <w:proofErr w:type="spellStart"/>
      <w:r w:rsidRPr="00343A49">
        <w:rPr>
          <w:b/>
          <w:bCs/>
          <w:color w:val="000000" w:themeColor="text1"/>
        </w:rPr>
        <w:t>Additional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financial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support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for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students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with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fewer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opportunities</w:t>
      </w:r>
      <w:proofErr w:type="spellEnd"/>
      <w:r w:rsidR="00946070" w:rsidRPr="00343A49">
        <w:rPr>
          <w:color w:val="000000" w:themeColor="text1"/>
          <w:lang w:val="en-GB"/>
        </w:rPr>
        <w:t xml:space="preserve"> under the category "</w:t>
      </w:r>
      <w:r w:rsidRPr="00343A49">
        <w:rPr>
          <w:color w:val="000000" w:themeColor="text1"/>
          <w:lang w:val="en-GB"/>
        </w:rPr>
        <w:t>Participants with health conditions</w:t>
      </w:r>
      <w:r w:rsidR="00946070" w:rsidRPr="00343A49">
        <w:rPr>
          <w:color w:val="000000" w:themeColor="text1"/>
          <w:lang w:val="en-GB"/>
        </w:rPr>
        <w:t xml:space="preserve">", </w:t>
      </w:r>
      <w:r w:rsidRPr="00343A49">
        <w:rPr>
          <w:color w:val="000000" w:themeColor="text1"/>
          <w:lang w:val="en-GB"/>
        </w:rPr>
        <w:t>they</w:t>
      </w:r>
      <w:r w:rsidR="00946070" w:rsidRPr="00343A49">
        <w:rPr>
          <w:color w:val="000000" w:themeColor="text1"/>
          <w:lang w:val="en-GB"/>
        </w:rPr>
        <w:t xml:space="preserve"> can apply for it in connection with any health, psychological, learning disability, etc. In such case</w:t>
      </w:r>
      <w:r w:rsidRPr="00343A49">
        <w:rPr>
          <w:color w:val="000000" w:themeColor="text1"/>
          <w:lang w:val="en-GB"/>
        </w:rPr>
        <w:t>s</w:t>
      </w:r>
      <w:r w:rsidR="00946070" w:rsidRPr="00343A49">
        <w:rPr>
          <w:color w:val="000000" w:themeColor="text1"/>
          <w:lang w:val="en-GB"/>
        </w:rPr>
        <w:t xml:space="preserve">, itemized application is required, only medical or other documents (psychology report, etc.) proving the </w:t>
      </w:r>
      <w:r w:rsidR="00C931AD" w:rsidRPr="00343A49">
        <w:rPr>
          <w:color w:val="000000" w:themeColor="text1"/>
          <w:lang w:val="en-GB"/>
        </w:rPr>
        <w:t>eligibility are compulsory</w:t>
      </w:r>
      <w:r w:rsidR="00946070" w:rsidRPr="00343A49">
        <w:rPr>
          <w:color w:val="000000" w:themeColor="text1"/>
          <w:lang w:val="en-GB"/>
        </w:rPr>
        <w:t xml:space="preserve">. </w:t>
      </w:r>
    </w:p>
    <w:p w14:paraId="648AFC21" w14:textId="6F7548F7" w:rsidR="00946070" w:rsidRPr="00343A49" w:rsidRDefault="00946070" w:rsidP="00343A49">
      <w:pPr>
        <w:pStyle w:val="Listaszerbekezds"/>
        <w:numPr>
          <w:ilvl w:val="0"/>
          <w:numId w:val="34"/>
        </w:numPr>
        <w:jc w:val="both"/>
        <w:rPr>
          <w:color w:val="000000" w:themeColor="text1"/>
          <w:lang w:val="en-GB"/>
        </w:rPr>
      </w:pPr>
      <w:r w:rsidRPr="00343A49">
        <w:rPr>
          <w:color w:val="000000" w:themeColor="text1"/>
          <w:lang w:val="en-GB"/>
        </w:rPr>
        <w:t xml:space="preserve">In the case of higher education </w:t>
      </w:r>
      <w:r w:rsidRPr="00343A49">
        <w:rPr>
          <w:b/>
          <w:bCs/>
          <w:color w:val="000000" w:themeColor="text1"/>
          <w:lang w:val="en-GB"/>
        </w:rPr>
        <w:t>staff members</w:t>
      </w:r>
      <w:r w:rsidRPr="00343A49">
        <w:rPr>
          <w:color w:val="000000" w:themeColor="text1"/>
          <w:lang w:val="en-GB"/>
        </w:rPr>
        <w:t xml:space="preserve"> or participants who are already eligible for </w:t>
      </w:r>
      <w:proofErr w:type="spellStart"/>
      <w:r w:rsidR="00C931AD" w:rsidRPr="00343A49">
        <w:rPr>
          <w:b/>
          <w:bCs/>
          <w:color w:val="000000" w:themeColor="text1"/>
        </w:rPr>
        <w:t>Additional</w:t>
      </w:r>
      <w:proofErr w:type="spellEnd"/>
      <w:r w:rsidR="00C931AD" w:rsidRPr="00343A49">
        <w:rPr>
          <w:b/>
          <w:bCs/>
          <w:color w:val="000000" w:themeColor="text1"/>
        </w:rPr>
        <w:t xml:space="preserve"> </w:t>
      </w:r>
      <w:proofErr w:type="spellStart"/>
      <w:r w:rsidR="00C931AD" w:rsidRPr="00343A49">
        <w:rPr>
          <w:b/>
          <w:bCs/>
          <w:color w:val="000000" w:themeColor="text1"/>
        </w:rPr>
        <w:t>financial</w:t>
      </w:r>
      <w:proofErr w:type="spellEnd"/>
      <w:r w:rsidR="00C931AD" w:rsidRPr="00343A49">
        <w:rPr>
          <w:b/>
          <w:bCs/>
          <w:color w:val="000000" w:themeColor="text1"/>
        </w:rPr>
        <w:t xml:space="preserve"> </w:t>
      </w:r>
      <w:proofErr w:type="spellStart"/>
      <w:r w:rsidR="00C931AD" w:rsidRPr="00343A49">
        <w:rPr>
          <w:b/>
          <w:bCs/>
          <w:color w:val="000000" w:themeColor="text1"/>
        </w:rPr>
        <w:t>support</w:t>
      </w:r>
      <w:proofErr w:type="spellEnd"/>
      <w:r w:rsidR="00C931AD" w:rsidRPr="00343A49">
        <w:rPr>
          <w:b/>
          <w:bCs/>
          <w:color w:val="000000" w:themeColor="text1"/>
        </w:rPr>
        <w:t xml:space="preserve"> </w:t>
      </w:r>
      <w:proofErr w:type="spellStart"/>
      <w:r w:rsidR="00C931AD" w:rsidRPr="00343A49">
        <w:rPr>
          <w:b/>
          <w:bCs/>
          <w:color w:val="000000" w:themeColor="text1"/>
        </w:rPr>
        <w:t>for</w:t>
      </w:r>
      <w:proofErr w:type="spellEnd"/>
      <w:r w:rsidR="00C931AD" w:rsidRPr="00343A49">
        <w:rPr>
          <w:b/>
          <w:bCs/>
          <w:color w:val="000000" w:themeColor="text1"/>
        </w:rPr>
        <w:t xml:space="preserve"> </w:t>
      </w:r>
      <w:proofErr w:type="spellStart"/>
      <w:r w:rsidR="00C931AD" w:rsidRPr="00343A49">
        <w:rPr>
          <w:b/>
          <w:bCs/>
          <w:color w:val="000000" w:themeColor="text1"/>
        </w:rPr>
        <w:t>students</w:t>
      </w:r>
      <w:proofErr w:type="spellEnd"/>
      <w:r w:rsidR="00C931AD" w:rsidRPr="00343A49">
        <w:rPr>
          <w:b/>
          <w:bCs/>
          <w:color w:val="000000" w:themeColor="text1"/>
        </w:rPr>
        <w:t xml:space="preserve"> </w:t>
      </w:r>
      <w:proofErr w:type="spellStart"/>
      <w:r w:rsidR="00C931AD" w:rsidRPr="00343A49">
        <w:rPr>
          <w:b/>
          <w:bCs/>
          <w:color w:val="000000" w:themeColor="text1"/>
        </w:rPr>
        <w:t>with</w:t>
      </w:r>
      <w:proofErr w:type="spellEnd"/>
      <w:r w:rsidR="00C931AD" w:rsidRPr="00343A49">
        <w:rPr>
          <w:b/>
          <w:bCs/>
          <w:color w:val="000000" w:themeColor="text1"/>
        </w:rPr>
        <w:t xml:space="preserve"> </w:t>
      </w:r>
      <w:proofErr w:type="spellStart"/>
      <w:r w:rsidR="00C931AD" w:rsidRPr="00343A49">
        <w:rPr>
          <w:b/>
          <w:bCs/>
          <w:color w:val="000000" w:themeColor="text1"/>
        </w:rPr>
        <w:t>fewer</w:t>
      </w:r>
      <w:proofErr w:type="spellEnd"/>
      <w:r w:rsidR="00C931AD" w:rsidRPr="00343A49">
        <w:rPr>
          <w:b/>
          <w:bCs/>
          <w:color w:val="000000" w:themeColor="text1"/>
        </w:rPr>
        <w:t xml:space="preserve"> </w:t>
      </w:r>
      <w:proofErr w:type="spellStart"/>
      <w:r w:rsidR="00C931AD" w:rsidRPr="00343A49">
        <w:rPr>
          <w:b/>
          <w:bCs/>
          <w:color w:val="000000" w:themeColor="text1"/>
        </w:rPr>
        <w:t>opportunities</w:t>
      </w:r>
      <w:proofErr w:type="spellEnd"/>
      <w:r w:rsidR="00C931AD" w:rsidRPr="00343A49">
        <w:rPr>
          <w:b/>
          <w:bCs/>
          <w:color w:val="000000" w:themeColor="text1"/>
        </w:rPr>
        <w:t xml:space="preserve"> </w:t>
      </w:r>
      <w:r w:rsidRPr="00343A49">
        <w:rPr>
          <w:color w:val="000000" w:themeColor="text1"/>
          <w:lang w:val="en-GB"/>
        </w:rPr>
        <w:t>under other criteri</w:t>
      </w:r>
      <w:r w:rsidR="00C931AD" w:rsidRPr="00343A49">
        <w:rPr>
          <w:color w:val="000000" w:themeColor="text1"/>
          <w:lang w:val="en-GB"/>
        </w:rPr>
        <w:t>a</w:t>
      </w:r>
      <w:r w:rsidRPr="00343A49">
        <w:rPr>
          <w:color w:val="000000" w:themeColor="text1"/>
          <w:lang w:val="en-GB"/>
        </w:rPr>
        <w:t>:</w:t>
      </w:r>
    </w:p>
    <w:p w14:paraId="6AAD45A3" w14:textId="09BB5B4B" w:rsidR="00281583" w:rsidRPr="00B713C0" w:rsidRDefault="00281583" w:rsidP="009F6CA6">
      <w:pPr>
        <w:pStyle w:val="Szvegtrzs"/>
        <w:numPr>
          <w:ilvl w:val="0"/>
          <w:numId w:val="35"/>
        </w:numPr>
        <w:spacing w:after="0"/>
        <w:jc w:val="both"/>
        <w:rPr>
          <w:rFonts w:asciiTheme="minorHAnsi" w:hAnsiTheme="minorHAnsi"/>
          <w:sz w:val="22"/>
          <w:szCs w:val="22"/>
          <w:lang w:val="en-GB"/>
        </w:rPr>
      </w:pPr>
      <w:r w:rsidRPr="00343A4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 xml:space="preserve">Additional support may be requested to support </w:t>
      </w:r>
      <w:r w:rsidRPr="00343A49">
        <w:rPr>
          <w:rFonts w:asciiTheme="minorHAnsi" w:eastAsiaTheme="minorHAnsi" w:hAnsiTheme="minorHAnsi" w:cstheme="minorBidi"/>
          <w:b/>
          <w:bCs/>
          <w:color w:val="000000" w:themeColor="text1"/>
          <w:sz w:val="22"/>
          <w:szCs w:val="22"/>
          <w:lang w:val="en-GB" w:eastAsia="en-US"/>
        </w:rPr>
        <w:t>additional costs</w:t>
      </w:r>
      <w:r w:rsidRPr="00343A49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val="en-GB" w:eastAsia="en-US"/>
        </w:rPr>
        <w:t xml:space="preserve"> related to mobility </w:t>
      </w:r>
      <w:r w:rsidR="004C1997"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to</w:t>
      </w:r>
      <w:r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CE1583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overcome</w:t>
      </w:r>
      <w:r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obstacles to participation in the program: these are well-defined, specific expenses that are directly related to relocation, travel</w:t>
      </w:r>
      <w:r w:rsidR="004C1997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,</w:t>
      </w:r>
      <w:r w:rsidRPr="00B713C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and residence abroad.</w:t>
      </w:r>
    </w:p>
    <w:p w14:paraId="688771A4" w14:textId="77777777" w:rsidR="003136E9" w:rsidRDefault="00281583" w:rsidP="009F6CA6">
      <w:pPr>
        <w:pStyle w:val="Szvegtrzs"/>
        <w:numPr>
          <w:ilvl w:val="0"/>
          <w:numId w:val="35"/>
        </w:numPr>
        <w:spacing w:after="0"/>
        <w:jc w:val="both"/>
        <w:rPr>
          <w:rFonts w:asciiTheme="minorHAnsi" w:hAnsiTheme="minorHAnsi"/>
          <w:sz w:val="22"/>
          <w:szCs w:val="22"/>
          <w:lang w:val="en-GB"/>
        </w:rPr>
      </w:pPr>
      <w:r w:rsidRPr="00B713C0">
        <w:rPr>
          <w:rFonts w:asciiTheme="minorHAnsi" w:hAnsiTheme="minorHAnsi"/>
          <w:sz w:val="22"/>
          <w:szCs w:val="22"/>
          <w:lang w:val="en-GB"/>
        </w:rPr>
        <w:t xml:space="preserve">Only items that arise </w:t>
      </w:r>
      <w:r w:rsidR="002C3831">
        <w:rPr>
          <w:rFonts w:asciiTheme="minorHAnsi" w:hAnsiTheme="minorHAnsi"/>
          <w:b/>
          <w:bCs/>
          <w:sz w:val="22"/>
          <w:szCs w:val="22"/>
          <w:lang w:val="en-GB"/>
        </w:rPr>
        <w:t>related to</w:t>
      </w:r>
      <w:r w:rsidRPr="00B713C0">
        <w:rPr>
          <w:rFonts w:asciiTheme="minorHAnsi" w:hAnsiTheme="minorHAnsi"/>
          <w:b/>
          <w:bCs/>
          <w:sz w:val="22"/>
          <w:szCs w:val="22"/>
          <w:lang w:val="en-GB"/>
        </w:rPr>
        <w:t xml:space="preserve"> mobility</w:t>
      </w:r>
      <w:r w:rsidRPr="00B713C0">
        <w:rPr>
          <w:rFonts w:asciiTheme="minorHAnsi" w:hAnsiTheme="minorHAnsi"/>
          <w:sz w:val="22"/>
          <w:szCs w:val="22"/>
          <w:lang w:val="en-GB"/>
        </w:rPr>
        <w:t>, in connection with a chronic illness or disability are eligible.</w:t>
      </w:r>
    </w:p>
    <w:p w14:paraId="75EF534A" w14:textId="074D8927" w:rsidR="00AD33EE" w:rsidRPr="003136E9" w:rsidRDefault="003136E9" w:rsidP="009F6CA6">
      <w:pPr>
        <w:pStyle w:val="Szvegtrzs"/>
        <w:numPr>
          <w:ilvl w:val="0"/>
          <w:numId w:val="35"/>
        </w:numPr>
        <w:spacing w:after="0"/>
        <w:jc w:val="both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3136E9">
        <w:rPr>
          <w:rFonts w:asciiTheme="minorHAnsi" w:hAnsiTheme="minorHAnsi"/>
          <w:sz w:val="22"/>
          <w:szCs w:val="22"/>
          <w:lang w:val="en-GB"/>
        </w:rPr>
        <w:t>The Erasmus+ participant cannot finance the eligible costs from any other source</w:t>
      </w:r>
      <w:r w:rsidR="008E237F">
        <w:rPr>
          <w:rFonts w:asciiTheme="minorHAnsi" w:hAnsiTheme="minorHAnsi"/>
          <w:sz w:val="22"/>
          <w:szCs w:val="22"/>
          <w:lang w:val="en-GB"/>
        </w:rPr>
        <w:t>.</w:t>
      </w:r>
      <w:r w:rsidR="00232B4E">
        <w:rPr>
          <w:rFonts w:asciiTheme="minorHAnsi" w:hAnsiTheme="minorHAnsi"/>
          <w:b/>
          <w:bCs/>
          <w:sz w:val="22"/>
          <w:szCs w:val="22"/>
          <w:lang w:val="en-GB"/>
        </w:rPr>
        <w:t xml:space="preserve"> </w:t>
      </w:r>
    </w:p>
    <w:p w14:paraId="6A31784B" w14:textId="77777777" w:rsidR="003136E9" w:rsidRPr="003136E9" w:rsidRDefault="003136E9" w:rsidP="003136E9">
      <w:pPr>
        <w:pStyle w:val="Szvegtrzs"/>
        <w:spacing w:after="0"/>
        <w:ind w:left="360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2D95BFB" w14:textId="25074C25" w:rsidR="00510CFD" w:rsidRPr="00B713C0" w:rsidRDefault="00510CFD" w:rsidP="00AE4905">
      <w:pPr>
        <w:pStyle w:val="Cmsor2"/>
        <w:spacing w:before="0" w:line="240" w:lineRule="auto"/>
        <w:jc w:val="both"/>
        <w:rPr>
          <w:rFonts w:asciiTheme="minorHAnsi" w:hAnsiTheme="minorHAnsi"/>
          <w:lang w:val="en-GB"/>
        </w:rPr>
      </w:pPr>
      <w:r w:rsidRPr="00B713C0">
        <w:rPr>
          <w:rFonts w:asciiTheme="minorHAnsi" w:hAnsiTheme="minorHAnsi"/>
          <w:lang w:val="en-GB"/>
        </w:rPr>
        <w:t>What costs are not eligible?</w:t>
      </w:r>
    </w:p>
    <w:p w14:paraId="5F4AD38C" w14:textId="1E31E287" w:rsidR="00266B7B" w:rsidRPr="00B713C0" w:rsidRDefault="006D5ED7" w:rsidP="00CD1096">
      <w:pPr>
        <w:spacing w:line="240" w:lineRule="auto"/>
        <w:jc w:val="both"/>
        <w:rPr>
          <w:lang w:val="en-GB"/>
        </w:rPr>
      </w:pPr>
      <w:r w:rsidRPr="00B713C0">
        <w:rPr>
          <w:lang w:val="en-GB"/>
        </w:rPr>
        <w:t>The purpose of the additional support is not to support the usual costs related to the participant’s everyday life (e</w:t>
      </w:r>
      <w:r w:rsidR="00FA0417">
        <w:rPr>
          <w:lang w:val="en-GB"/>
        </w:rPr>
        <w:t>.</w:t>
      </w:r>
      <w:r w:rsidRPr="00B713C0">
        <w:rPr>
          <w:lang w:val="en-GB"/>
        </w:rPr>
        <w:t>g</w:t>
      </w:r>
      <w:r w:rsidR="00FA0417">
        <w:rPr>
          <w:lang w:val="en-GB"/>
        </w:rPr>
        <w:t>.,</w:t>
      </w:r>
      <w:r w:rsidRPr="00B713C0">
        <w:rPr>
          <w:lang w:val="en-GB"/>
        </w:rPr>
        <w:t xml:space="preserve"> meals, daily necessities, medicine)</w:t>
      </w:r>
      <w:r w:rsidR="00FA0417">
        <w:rPr>
          <w:lang w:val="en-GB"/>
        </w:rPr>
        <w:t>:</w:t>
      </w:r>
      <w:r w:rsidRPr="00B713C0">
        <w:rPr>
          <w:lang w:val="en-GB"/>
        </w:rPr>
        <w:t xml:space="preserve"> </w:t>
      </w:r>
      <w:r w:rsidR="00FA0417" w:rsidRPr="00FA0417">
        <w:rPr>
          <w:lang w:val="en-GB"/>
        </w:rPr>
        <w:t>i.e.</w:t>
      </w:r>
      <w:r w:rsidR="00FA0417">
        <w:rPr>
          <w:lang w:val="en-GB"/>
        </w:rPr>
        <w:t>,</w:t>
      </w:r>
      <w:r w:rsidR="00FA0417" w:rsidRPr="00FA0417">
        <w:rPr>
          <w:lang w:val="en-GB"/>
        </w:rPr>
        <w:t xml:space="preserve"> costs that would be incurred in Hungary without mobility are eligible only if they represent a significant additional cost over and above the costs incurred in Hungary.</w:t>
      </w:r>
    </w:p>
    <w:p w14:paraId="54A28450" w14:textId="5B0FF8CF" w:rsidR="00926C4C" w:rsidRPr="00B713C0" w:rsidRDefault="00AC7164" w:rsidP="00FB1A7E">
      <w:pPr>
        <w:pStyle w:val="Cmsor2"/>
        <w:spacing w:before="0" w:line="240" w:lineRule="auto"/>
        <w:jc w:val="both"/>
        <w:rPr>
          <w:rFonts w:asciiTheme="minorHAnsi" w:hAnsiTheme="minorHAnsi"/>
          <w:lang w:val="en-GB"/>
        </w:rPr>
      </w:pPr>
      <w:r w:rsidRPr="00B713C0">
        <w:rPr>
          <w:rFonts w:asciiTheme="minorHAnsi" w:hAnsiTheme="minorHAnsi"/>
          <w:lang w:val="en-GB"/>
        </w:rPr>
        <w:t>How to apply</w:t>
      </w:r>
    </w:p>
    <w:p w14:paraId="0EC9032E" w14:textId="6E2A9289" w:rsidR="00AC7164" w:rsidRPr="00B713C0" w:rsidRDefault="00232B4E" w:rsidP="00AC7164">
      <w:pPr>
        <w:rPr>
          <w:lang w:val="en-GB"/>
        </w:rPr>
      </w:pPr>
      <w:r>
        <w:rPr>
          <w:lang w:val="en-GB"/>
        </w:rPr>
        <w:t>To apply, submit</w:t>
      </w:r>
      <w:r w:rsidR="00AC7164" w:rsidRPr="00B713C0">
        <w:rPr>
          <w:lang w:val="en-GB"/>
        </w:rPr>
        <w:t xml:space="preserve"> </w:t>
      </w:r>
      <w:r w:rsidR="00AC7164" w:rsidRPr="00B713C0">
        <w:rPr>
          <w:b/>
          <w:bCs/>
          <w:lang w:val="en-GB"/>
        </w:rPr>
        <w:t>the appropriate application form completed in full</w:t>
      </w:r>
      <w:r w:rsidR="004F1CF6">
        <w:rPr>
          <w:lang w:val="en-GB"/>
        </w:rPr>
        <w:t>.</w:t>
      </w:r>
    </w:p>
    <w:p w14:paraId="11E964D9" w14:textId="19EE088D" w:rsidR="00926C4C" w:rsidRPr="00B713C0" w:rsidRDefault="00AC7164" w:rsidP="00FB1A7E">
      <w:pPr>
        <w:pStyle w:val="Cmsor3"/>
        <w:rPr>
          <w:lang w:val="en-GB"/>
        </w:rPr>
      </w:pPr>
      <w:r w:rsidRPr="00B713C0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  <w:lang w:val="en-GB"/>
        </w:rPr>
        <w:lastRenderedPageBreak/>
        <w:t>Compulsory attachments</w:t>
      </w:r>
      <w:r w:rsidR="00926C4C" w:rsidRPr="00B713C0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  <w:lang w:val="en-GB"/>
        </w:rPr>
        <w:t>:</w:t>
      </w:r>
    </w:p>
    <w:p w14:paraId="2AE11045" w14:textId="5585729D" w:rsidR="00926C4C" w:rsidRPr="00343A49" w:rsidRDefault="00946070" w:rsidP="001737D6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Medical history summary or General Practitioner/Specialist 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certificate to support and validate the medical history summary, confirming the existence of the </w:t>
      </w:r>
      <w:r w:rsidR="00C931AD"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illness 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>or disability.</w:t>
      </w:r>
    </w:p>
    <w:p w14:paraId="7DEF4C6F" w14:textId="60542BA5" w:rsidR="007B7304" w:rsidRPr="00343A49" w:rsidRDefault="007B7304" w:rsidP="001737D6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</w:pPr>
    </w:p>
    <w:p w14:paraId="0B9BE49F" w14:textId="76C72263" w:rsidR="007B7304" w:rsidRPr="00343A49" w:rsidRDefault="007B7304" w:rsidP="007B7304">
      <w:pPr>
        <w:pStyle w:val="Szvegtrzs"/>
        <w:numPr>
          <w:ilvl w:val="0"/>
          <w:numId w:val="3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In the case of a </w:t>
      </w:r>
      <w:r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chronic illness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, proof of the existence of the illness must be provided by an outpatient form, a final report or a certificate issued by a specialist. </w:t>
      </w:r>
    </w:p>
    <w:p w14:paraId="769E4D86" w14:textId="7B8AD8E2" w:rsidR="007B7304" w:rsidRPr="00343A49" w:rsidRDefault="007B7304" w:rsidP="007B7304">
      <w:pPr>
        <w:pStyle w:val="Szvegtrzs"/>
        <w:numPr>
          <w:ilvl w:val="1"/>
          <w:numId w:val="3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>This document must include the diagnosis of the illness or disability, the name and address of the place of work of the doctor who issued the document</w:t>
      </w:r>
      <w:r w:rsidR="00C931AD"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>, and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 the doctor's signature and stamp. The information on the doctor's stamp must be legible.</w:t>
      </w:r>
    </w:p>
    <w:p w14:paraId="3210FC80" w14:textId="18AF4CDE" w:rsidR="007B7304" w:rsidRPr="00343A49" w:rsidRDefault="007B7304" w:rsidP="007B7304">
      <w:pPr>
        <w:pStyle w:val="Szvegtrzs"/>
        <w:numPr>
          <w:ilvl w:val="1"/>
          <w:numId w:val="3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If the applicant downloads the certificate of illness or disability from the </w:t>
      </w:r>
      <w:r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EESZT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 (</w:t>
      </w:r>
      <w:r w:rsidR="00C931AD" w:rsidRPr="00343A49">
        <w:rPr>
          <w:rFonts w:asciiTheme="minorHAnsi" w:hAnsiTheme="minorHAnsi"/>
          <w:color w:val="000000" w:themeColor="text1"/>
          <w:sz w:val="22"/>
          <w:szCs w:val="22"/>
        </w:rPr>
        <w:t>Egységes Egészségügyi Szolgáltatási Tér</w:t>
      </w:r>
      <w:r w:rsidR="00C931AD"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 – “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>Single Health Service Space</w:t>
      </w:r>
      <w:r w:rsidR="00C931AD"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>”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>) or from another source available on the Internet, it must be certified (stamped and signed) by the applicant's general practitioner or doctor</w:t>
      </w:r>
      <w:r w:rsidR="00C931AD"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 administering treatment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. </w:t>
      </w:r>
    </w:p>
    <w:p w14:paraId="50B386DA" w14:textId="5DBC2D55" w:rsidR="007B7304" w:rsidRPr="00343A49" w:rsidRDefault="007B7304" w:rsidP="007B7304">
      <w:pPr>
        <w:pStyle w:val="Szvegtrzs"/>
        <w:numPr>
          <w:ilvl w:val="1"/>
          <w:numId w:val="3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The submission of a laboratory or imaging diagnostic report is not necessary and such reports alone, without a diagnosis by a clinical specialist (internist, gastroenterologist, allergist, </w:t>
      </w:r>
      <w:proofErr w:type="spellStart"/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>orthopedic</w:t>
      </w:r>
      <w:proofErr w:type="spellEnd"/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 specialist, etc.), cannot be accepted, even if they bear the stamp of a specialist with a clinical laboratory examination. A diagnosis or certificate issued by a general practitioner is sufficient. </w:t>
      </w:r>
    </w:p>
    <w:p w14:paraId="181B3362" w14:textId="7DE2BE42" w:rsidR="007B7304" w:rsidRPr="00343A49" w:rsidRDefault="007B7304" w:rsidP="007B7304">
      <w:pPr>
        <w:pStyle w:val="Szvegtrzs"/>
        <w:numPr>
          <w:ilvl w:val="1"/>
          <w:numId w:val="3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In the case of a long-standing chronic illness that </w:t>
      </w:r>
      <w:r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cannot be cured according to current scientific knowledge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>, if the applicant is only applying for additional support to maintain his diet, it is sufficient to submit an older medical document if it meets the above criteria.</w:t>
      </w:r>
    </w:p>
    <w:p w14:paraId="7EA9DAF7" w14:textId="77777777" w:rsidR="007B7304" w:rsidRPr="007B7304" w:rsidRDefault="007B7304" w:rsidP="007B7304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FF0000"/>
          <w:sz w:val="22"/>
          <w:szCs w:val="22"/>
          <w:lang w:val="en-GB"/>
        </w:rPr>
      </w:pPr>
    </w:p>
    <w:p w14:paraId="186845CF" w14:textId="18249061" w:rsidR="007B7304" w:rsidRPr="00343A49" w:rsidRDefault="007B7304" w:rsidP="007B7304">
      <w:pPr>
        <w:pStyle w:val="Szvegtrzs"/>
        <w:numPr>
          <w:ilvl w:val="0"/>
          <w:numId w:val="3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  <w:r w:rsidRPr="00B713C0">
        <w:rPr>
          <w:rFonts w:asciiTheme="minorHAnsi" w:hAnsiTheme="minorHAnsi"/>
          <w:sz w:val="22"/>
          <w:szCs w:val="22"/>
          <w:lang w:val="en-GB"/>
        </w:rPr>
        <w:t xml:space="preserve">In the case of support for maintaining a </w:t>
      </w:r>
      <w:r w:rsidRPr="007B7304">
        <w:rPr>
          <w:rFonts w:asciiTheme="minorHAnsi" w:hAnsiTheme="minorHAnsi"/>
          <w:b/>
          <w:bCs/>
          <w:sz w:val="22"/>
          <w:szCs w:val="22"/>
          <w:lang w:val="en-GB"/>
        </w:rPr>
        <w:t>special diet</w:t>
      </w:r>
      <w:r w:rsidRPr="00B713C0">
        <w:rPr>
          <w:rFonts w:asciiTheme="minorHAnsi" w:hAnsiTheme="minorHAnsi"/>
          <w:sz w:val="22"/>
          <w:szCs w:val="22"/>
          <w:lang w:val="en-GB"/>
        </w:rPr>
        <w:t xml:space="preserve">, the attached specialist report must include information relevant for the diet, or the need for the diet must be made clear in the </w:t>
      </w:r>
      <w:r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 xml:space="preserve">diagnosis. The additional costs of maintaining the diet must be supported by information on prices in the destination country. Without </w:t>
      </w:r>
      <w:r w:rsidR="00DF177C"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>supporting documentation</w:t>
      </w:r>
      <w:r w:rsidRPr="00343A49">
        <w:rPr>
          <w:rFonts w:asciiTheme="minorHAnsi" w:hAnsiTheme="minorHAnsi"/>
          <w:color w:val="000000" w:themeColor="text1"/>
          <w:sz w:val="22"/>
          <w:szCs w:val="22"/>
          <w:lang w:val="en-GB"/>
        </w:rPr>
        <w:t>, the amount of support requested cannot be considered to be duly justified.</w:t>
      </w:r>
    </w:p>
    <w:p w14:paraId="14E7898A" w14:textId="77777777" w:rsidR="007B7304" w:rsidRPr="00343A49" w:rsidRDefault="007B7304" w:rsidP="007B7304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color w:val="000000" w:themeColor="text1"/>
          <w:sz w:val="22"/>
          <w:szCs w:val="22"/>
          <w:lang w:val="en-GB"/>
        </w:rPr>
      </w:pPr>
    </w:p>
    <w:p w14:paraId="501C6922" w14:textId="20683B85" w:rsidR="007B7304" w:rsidRPr="00343A49" w:rsidRDefault="007B7304" w:rsidP="007B7304">
      <w:pPr>
        <w:pStyle w:val="Szvegtrzs"/>
        <w:numPr>
          <w:ilvl w:val="0"/>
          <w:numId w:val="3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in the case of a </w:t>
      </w:r>
      <w:r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claim for medication</w:t>
      </w:r>
      <w:r w:rsidR="00DF177C"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 costs</w:t>
      </w:r>
      <w:r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, travel, laboratory and/or specialist tests abroad, or medical treatment abroad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>, a document</w:t>
      </w:r>
      <w:r w:rsidR="00DF177C"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 is required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 from the treating doctor (general practitioner or the competent specialist), </w:t>
      </w:r>
      <w:r w:rsidRPr="00343A49">
        <w:rPr>
          <w:rFonts w:asciiTheme="minorHAnsi" w:hAnsiTheme="minorHAnsi"/>
          <w:b/>
          <w:color w:val="000000" w:themeColor="text1"/>
          <w:sz w:val="22"/>
          <w:szCs w:val="22"/>
          <w:u w:val="single"/>
          <w:lang w:val="en-GB"/>
        </w:rPr>
        <w:t>issued not more than three months ago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>, stating the diagnosis of the illness, and</w:t>
      </w:r>
    </w:p>
    <w:p w14:paraId="6CFA1CCF" w14:textId="2FC98C12" w:rsidR="007B7304" w:rsidRPr="00343A49" w:rsidRDefault="007B7304" w:rsidP="007B7304">
      <w:pPr>
        <w:pStyle w:val="Szvegtrzs"/>
        <w:numPr>
          <w:ilvl w:val="1"/>
          <w:numId w:val="3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in the case of a request for medication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, the medicines used and their dosage (the general practitioner may prescribe up to 3-6 months' supply of medicines if justified.) </w:t>
      </w:r>
    </w:p>
    <w:p w14:paraId="52301AC6" w14:textId="0CC7E034" w:rsidR="007B7304" w:rsidRPr="00343A49" w:rsidRDefault="007B7304" w:rsidP="007B7304">
      <w:pPr>
        <w:pStyle w:val="Szvegtrzs"/>
        <w:numPr>
          <w:ilvl w:val="1"/>
          <w:numId w:val="3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if the applicant is applying for additional support for follow-up examinations or </w:t>
      </w:r>
      <w:r w:rsidR="00DF177C"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for </w:t>
      </w:r>
      <w:r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travel</w:t>
      </w:r>
      <w:r w:rsidR="00DF177C"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ling</w:t>
      </w:r>
      <w:r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 home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 for treatment in Hungary, precise information on the need, reasons and frequency of travel home;</w:t>
      </w:r>
    </w:p>
    <w:p w14:paraId="15E019B3" w14:textId="3CE36D1A" w:rsidR="00946070" w:rsidRPr="00343A49" w:rsidRDefault="007B7304" w:rsidP="007B7304">
      <w:pPr>
        <w:pStyle w:val="Szvegtrzs"/>
        <w:numPr>
          <w:ilvl w:val="1"/>
          <w:numId w:val="3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</w:pP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in the case of a request for support for laboratory and/or specialist </w:t>
      </w:r>
      <w:r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>examinations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 xml:space="preserve"> </w:t>
      </w:r>
      <w:r w:rsidRPr="00343A49">
        <w:rPr>
          <w:rFonts w:asciiTheme="minorHAnsi" w:hAnsiTheme="minorHAnsi"/>
          <w:b/>
          <w:color w:val="000000" w:themeColor="text1"/>
          <w:sz w:val="22"/>
          <w:szCs w:val="22"/>
          <w:lang w:val="en-GB"/>
        </w:rPr>
        <w:t xml:space="preserve">abroad </w:t>
      </w:r>
      <w:r w:rsidRPr="00343A49">
        <w:rPr>
          <w:rFonts w:asciiTheme="minorHAnsi" w:hAnsiTheme="minorHAnsi"/>
          <w:bCs/>
          <w:color w:val="000000" w:themeColor="text1"/>
          <w:sz w:val="22"/>
          <w:szCs w:val="22"/>
          <w:lang w:val="en-GB"/>
        </w:rPr>
        <w:t>or for medical treatment, the specific proposal for such treatment.</w:t>
      </w:r>
    </w:p>
    <w:p w14:paraId="2DDB7745" w14:textId="77777777" w:rsidR="007B7304" w:rsidRPr="00B713C0" w:rsidRDefault="007B7304" w:rsidP="007B7304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/>
          <w:sz w:val="22"/>
          <w:szCs w:val="22"/>
          <w:lang w:val="en-GB"/>
        </w:rPr>
      </w:pPr>
    </w:p>
    <w:p w14:paraId="520BEBF6" w14:textId="77777777" w:rsidR="004B5E49" w:rsidRPr="00B713C0" w:rsidRDefault="004B5E49" w:rsidP="003A5B23">
      <w:pPr>
        <w:pStyle w:val="Szvegtrzsbehzssal"/>
        <w:spacing w:after="0" w:line="240" w:lineRule="auto"/>
        <w:ind w:left="0"/>
        <w:jc w:val="both"/>
        <w:rPr>
          <w:lang w:val="en-GB"/>
        </w:rPr>
      </w:pPr>
    </w:p>
    <w:p w14:paraId="5FFAB717" w14:textId="73266C67" w:rsidR="006D12A6" w:rsidRPr="00D159B7" w:rsidRDefault="0021597E" w:rsidP="003A5B23">
      <w:pPr>
        <w:pStyle w:val="Szvegtrzsbehzssal"/>
        <w:spacing w:after="0" w:line="240" w:lineRule="auto"/>
        <w:ind w:left="0"/>
        <w:jc w:val="both"/>
        <w:rPr>
          <w:b/>
          <w:bCs/>
          <w:lang w:val="en-GB"/>
        </w:rPr>
      </w:pPr>
      <w:r w:rsidRPr="00B713C0">
        <w:rPr>
          <w:lang w:val="en-GB"/>
        </w:rPr>
        <w:t xml:space="preserve">The application must be </w:t>
      </w:r>
      <w:r w:rsidR="00B52F9A">
        <w:rPr>
          <w:lang w:val="en-GB"/>
        </w:rPr>
        <w:t xml:space="preserve">submitted </w:t>
      </w:r>
      <w:r w:rsidR="00D159B7" w:rsidRPr="00D159B7">
        <w:rPr>
          <w:b/>
          <w:bCs/>
          <w:lang w:val="en-GB"/>
        </w:rPr>
        <w:t>electronically to the coordina</w:t>
      </w:r>
      <w:r w:rsidR="008A7297">
        <w:rPr>
          <w:b/>
          <w:bCs/>
          <w:lang w:val="en-GB"/>
        </w:rPr>
        <w:t xml:space="preserve">tor of the sending institution </w:t>
      </w:r>
      <w:r w:rsidR="00B52F9A" w:rsidRPr="00B52F9A">
        <w:rPr>
          <w:b/>
          <w:bCs/>
          <w:lang w:val="en-GB"/>
        </w:rPr>
        <w:t>using</w:t>
      </w:r>
      <w:r w:rsidR="00B52F9A" w:rsidRPr="00B713C0">
        <w:rPr>
          <w:b/>
          <w:bCs/>
          <w:lang w:val="en-GB"/>
        </w:rPr>
        <w:t xml:space="preserve"> the </w:t>
      </w:r>
      <w:r w:rsidR="00B52F9A">
        <w:rPr>
          <w:b/>
          <w:bCs/>
          <w:lang w:val="en-GB"/>
        </w:rPr>
        <w:t>form provided</w:t>
      </w:r>
      <w:r w:rsidR="00B52F9A" w:rsidRPr="00B713C0">
        <w:rPr>
          <w:b/>
          <w:bCs/>
          <w:lang w:val="en-GB"/>
        </w:rPr>
        <w:t>, completed digitally</w:t>
      </w:r>
      <w:r w:rsidR="008A7297">
        <w:rPr>
          <w:b/>
          <w:bCs/>
          <w:lang w:val="en-GB"/>
        </w:rPr>
        <w:t>, for further details see section E) in the application call on the website.</w:t>
      </w:r>
    </w:p>
    <w:p w14:paraId="6D9FE8A1" w14:textId="77777777" w:rsidR="00D159B7" w:rsidRDefault="00D159B7" w:rsidP="006D12A6">
      <w:pPr>
        <w:pStyle w:val="Szvegtrzsbehzssal"/>
        <w:spacing w:after="0" w:line="240" w:lineRule="auto"/>
        <w:jc w:val="both"/>
        <w:rPr>
          <w:u w:val="single"/>
          <w:lang w:val="en-GB"/>
        </w:rPr>
      </w:pPr>
    </w:p>
    <w:p w14:paraId="34DDCCF4" w14:textId="58B33486" w:rsidR="003A5B23" w:rsidRPr="00B713C0" w:rsidRDefault="00B92499" w:rsidP="00BF367A">
      <w:pPr>
        <w:pStyle w:val="Cmsor2"/>
        <w:spacing w:line="240" w:lineRule="auto"/>
        <w:rPr>
          <w:rFonts w:asciiTheme="minorHAnsi" w:hAnsiTheme="minorHAnsi"/>
          <w:lang w:val="en-GB"/>
        </w:rPr>
      </w:pPr>
      <w:r w:rsidRPr="00B713C0">
        <w:rPr>
          <w:rFonts w:asciiTheme="minorHAnsi" w:hAnsiTheme="minorHAnsi"/>
          <w:lang w:val="en-GB"/>
        </w:rPr>
        <w:t>Deadline for submission of application</w:t>
      </w:r>
    </w:p>
    <w:p w14:paraId="4C848A8E" w14:textId="1673F3A2" w:rsidR="00B225F6" w:rsidRPr="00CE28F8" w:rsidRDefault="008A7297" w:rsidP="00343A49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See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section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C</w:t>
      </w:r>
      <w:r w:rsidRPr="008A7297">
        <w:rPr>
          <w:rFonts w:asciiTheme="minorHAnsi" w:hAnsiTheme="minorHAnsi"/>
          <w:b/>
          <w:sz w:val="22"/>
          <w:szCs w:val="22"/>
        </w:rPr>
        <w:t xml:space="preserve">) in </w:t>
      </w:r>
      <w:proofErr w:type="spellStart"/>
      <w:r w:rsidRPr="008A7297">
        <w:rPr>
          <w:rFonts w:asciiTheme="minorHAnsi" w:hAnsiTheme="minorHAnsi"/>
          <w:b/>
          <w:sz w:val="22"/>
          <w:szCs w:val="22"/>
        </w:rPr>
        <w:t>the</w:t>
      </w:r>
      <w:proofErr w:type="spellEnd"/>
      <w:r w:rsidRPr="008A72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7297">
        <w:rPr>
          <w:rFonts w:asciiTheme="minorHAnsi" w:hAnsiTheme="minorHAnsi"/>
          <w:b/>
          <w:sz w:val="22"/>
          <w:szCs w:val="22"/>
        </w:rPr>
        <w:t>application</w:t>
      </w:r>
      <w:proofErr w:type="spellEnd"/>
      <w:r w:rsidRPr="008A72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7297">
        <w:rPr>
          <w:rFonts w:asciiTheme="minorHAnsi" w:hAnsiTheme="minorHAnsi"/>
          <w:b/>
          <w:sz w:val="22"/>
          <w:szCs w:val="22"/>
        </w:rPr>
        <w:t>call</w:t>
      </w:r>
      <w:proofErr w:type="spellEnd"/>
      <w:r w:rsidRPr="008A72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7297">
        <w:rPr>
          <w:rFonts w:asciiTheme="minorHAnsi" w:hAnsiTheme="minorHAnsi"/>
          <w:b/>
          <w:sz w:val="22"/>
          <w:szCs w:val="22"/>
        </w:rPr>
        <w:t>on</w:t>
      </w:r>
      <w:proofErr w:type="spellEnd"/>
      <w:r w:rsidRPr="008A729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A7297">
        <w:rPr>
          <w:rFonts w:asciiTheme="minorHAnsi" w:hAnsiTheme="minorHAnsi"/>
          <w:b/>
          <w:sz w:val="22"/>
          <w:szCs w:val="22"/>
        </w:rPr>
        <w:t>the</w:t>
      </w:r>
      <w:proofErr w:type="spellEnd"/>
      <w:r w:rsidRPr="008A7297">
        <w:rPr>
          <w:rFonts w:asciiTheme="minorHAnsi" w:hAnsiTheme="minorHAnsi"/>
          <w:b/>
          <w:sz w:val="22"/>
          <w:szCs w:val="22"/>
        </w:rPr>
        <w:t xml:space="preserve"> website.</w:t>
      </w:r>
    </w:p>
    <w:p w14:paraId="044A8BAB" w14:textId="5959C39C" w:rsidR="004460D6" w:rsidRDefault="00B92499" w:rsidP="00233986">
      <w:pPr>
        <w:pStyle w:val="Cmsor2"/>
        <w:spacing w:line="240" w:lineRule="auto"/>
        <w:rPr>
          <w:rFonts w:asciiTheme="minorHAnsi" w:hAnsiTheme="minorHAnsi"/>
          <w:lang w:val="en-GB"/>
        </w:rPr>
      </w:pPr>
      <w:r w:rsidRPr="00B713C0">
        <w:rPr>
          <w:rFonts w:asciiTheme="minorHAnsi" w:hAnsiTheme="minorHAnsi"/>
          <w:lang w:val="en-GB"/>
        </w:rPr>
        <w:lastRenderedPageBreak/>
        <w:t>Evaluation of applications, decision-making</w:t>
      </w:r>
    </w:p>
    <w:p w14:paraId="39EF3477" w14:textId="56600C5F" w:rsidR="00652258" w:rsidRPr="00343A49" w:rsidRDefault="00652258" w:rsidP="00652258">
      <w:pPr>
        <w:rPr>
          <w:color w:val="000000" w:themeColor="text1"/>
          <w:lang w:val="en-GB"/>
        </w:rPr>
      </w:pPr>
      <w:r w:rsidRPr="00343A49">
        <w:rPr>
          <w:color w:val="000000" w:themeColor="text1"/>
          <w:lang w:val="en-GB"/>
        </w:rPr>
        <w:t xml:space="preserve">The formal assessment of the applications is carried out by the sending higher education institution, while the content is assessed by independent medical experts appointed by Tempus Public Foundation. </w:t>
      </w:r>
    </w:p>
    <w:p w14:paraId="63B229A3" w14:textId="23647185" w:rsidR="00652258" w:rsidRPr="00343A49" w:rsidRDefault="00C864B2" w:rsidP="00652258">
      <w:pPr>
        <w:rPr>
          <w:color w:val="000000" w:themeColor="text1"/>
          <w:lang w:val="en-GB"/>
        </w:rPr>
      </w:pPr>
      <w:r w:rsidRPr="00343A49">
        <w:rPr>
          <w:color w:val="000000" w:themeColor="text1"/>
          <w:lang w:val="en-GB"/>
        </w:rPr>
        <w:t>Later correction</w:t>
      </w:r>
      <w:r w:rsidR="00652258" w:rsidRPr="00343A49">
        <w:rPr>
          <w:color w:val="000000" w:themeColor="text1"/>
          <w:lang w:val="en-GB"/>
        </w:rPr>
        <w:t xml:space="preserve"> is</w:t>
      </w:r>
      <w:r w:rsidRPr="00343A49">
        <w:rPr>
          <w:color w:val="000000" w:themeColor="text1"/>
          <w:lang w:val="en-GB"/>
        </w:rPr>
        <w:t xml:space="preserve"> not</w:t>
      </w:r>
      <w:r w:rsidR="00652258" w:rsidRPr="00343A49">
        <w:rPr>
          <w:color w:val="000000" w:themeColor="text1"/>
          <w:lang w:val="en-GB"/>
        </w:rPr>
        <w:t xml:space="preserve"> possible. The decision on the applications and the amount of the grant will be </w:t>
      </w:r>
      <w:r w:rsidRPr="00343A49">
        <w:rPr>
          <w:color w:val="000000" w:themeColor="text1"/>
          <w:lang w:val="en-GB"/>
        </w:rPr>
        <w:t>determined</w:t>
      </w:r>
      <w:r w:rsidR="00652258" w:rsidRPr="00343A49">
        <w:rPr>
          <w:color w:val="000000" w:themeColor="text1"/>
          <w:lang w:val="en-GB"/>
        </w:rPr>
        <w:t xml:space="preserve"> by the Board of Trustees of Tempus Public </w:t>
      </w:r>
      <w:r w:rsidR="00B259D0" w:rsidRPr="00B259D0">
        <w:rPr>
          <w:color w:val="000000" w:themeColor="text1"/>
          <w:lang w:val="en-GB"/>
        </w:rPr>
        <w:t>within 60 days of the submission deadline</w:t>
      </w:r>
      <w:proofErr w:type="gramStart"/>
      <w:r w:rsidR="00B259D0">
        <w:rPr>
          <w:color w:val="000000" w:themeColor="text1"/>
          <w:lang w:val="en-GB"/>
        </w:rPr>
        <w:t>,</w:t>
      </w:r>
      <w:r w:rsidR="00652258" w:rsidRPr="00343A49">
        <w:rPr>
          <w:color w:val="000000" w:themeColor="text1"/>
          <w:lang w:val="en-GB"/>
        </w:rPr>
        <w:t>,</w:t>
      </w:r>
      <w:proofErr w:type="gramEnd"/>
      <w:r w:rsidR="00652258" w:rsidRPr="00343A49">
        <w:rPr>
          <w:color w:val="000000" w:themeColor="text1"/>
          <w:lang w:val="en-GB"/>
        </w:rPr>
        <w:t xml:space="preserve"> and there is no possibility of appeal against the decision of the Board of Trustees of TPF.</w:t>
      </w:r>
    </w:p>
    <w:p w14:paraId="28306E69" w14:textId="00EE43D6" w:rsidR="00EA57EB" w:rsidRPr="00EA57EB" w:rsidRDefault="00205107" w:rsidP="00E63D67">
      <w:pPr>
        <w:pStyle w:val="Cmsor2"/>
        <w:spacing w:before="0" w:line="240" w:lineRule="auto"/>
        <w:jc w:val="both"/>
        <w:rPr>
          <w:lang w:val="en-GB"/>
        </w:rPr>
      </w:pPr>
      <w:r>
        <w:rPr>
          <w:rFonts w:asciiTheme="minorHAnsi" w:hAnsiTheme="minorHAnsi"/>
          <w:lang w:val="en-GB"/>
        </w:rPr>
        <w:t>Amount</w:t>
      </w:r>
      <w:r w:rsidR="00B92499" w:rsidRPr="00B713C0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and settlement </w:t>
      </w:r>
      <w:r w:rsidR="00B92499" w:rsidRPr="00B713C0">
        <w:rPr>
          <w:rFonts w:asciiTheme="minorHAnsi" w:hAnsiTheme="minorHAnsi"/>
          <w:lang w:val="en-GB"/>
        </w:rPr>
        <w:t xml:space="preserve">of the </w:t>
      </w:r>
      <w:r>
        <w:rPr>
          <w:rFonts w:asciiTheme="minorHAnsi" w:hAnsiTheme="minorHAnsi"/>
          <w:lang w:val="en-GB"/>
        </w:rPr>
        <w:t>additional support</w:t>
      </w:r>
    </w:p>
    <w:p w14:paraId="5FC18803" w14:textId="169F1F21" w:rsidR="00233986" w:rsidRDefault="00233986" w:rsidP="00A21855">
      <w:pPr>
        <w:spacing w:after="0" w:line="240" w:lineRule="auto"/>
        <w:jc w:val="both"/>
        <w:rPr>
          <w:rFonts w:eastAsia="Times New Roman" w:cs="Times New Roman"/>
          <w:lang w:val="en-GB" w:eastAsia="hu-HU"/>
        </w:rPr>
      </w:pPr>
      <w:r w:rsidRPr="00233986">
        <w:rPr>
          <w:rFonts w:eastAsia="Times New Roman" w:cs="Times New Roman"/>
          <w:lang w:val="en-GB" w:eastAsia="hu-HU"/>
        </w:rPr>
        <w:t xml:space="preserve">Based on the </w:t>
      </w:r>
      <w:r w:rsidR="00917027">
        <w:rPr>
          <w:rFonts w:eastAsia="Times New Roman" w:cs="Times New Roman"/>
          <w:lang w:val="en-GB" w:eastAsia="hu-HU"/>
        </w:rPr>
        <w:t xml:space="preserve">summary of the </w:t>
      </w:r>
      <w:r w:rsidRPr="00233986">
        <w:rPr>
          <w:rFonts w:eastAsia="Times New Roman" w:cs="Times New Roman"/>
          <w:lang w:val="en-GB" w:eastAsia="hu-HU"/>
        </w:rPr>
        <w:t xml:space="preserve">medical </w:t>
      </w:r>
      <w:r w:rsidR="00917027">
        <w:rPr>
          <w:rFonts w:eastAsia="Times New Roman" w:cs="Times New Roman"/>
          <w:lang w:val="en-GB" w:eastAsia="hu-HU"/>
        </w:rPr>
        <w:t>history</w:t>
      </w:r>
      <w:r w:rsidRPr="00233986">
        <w:rPr>
          <w:rFonts w:eastAsia="Times New Roman" w:cs="Times New Roman"/>
          <w:lang w:val="en-GB" w:eastAsia="hu-HU"/>
        </w:rPr>
        <w:t xml:space="preserve">, the medical experts will make a recommendation on the eligibility for the additional </w:t>
      </w:r>
      <w:r>
        <w:rPr>
          <w:rFonts w:eastAsia="Times New Roman" w:cs="Times New Roman"/>
          <w:lang w:val="en-GB" w:eastAsia="hu-HU"/>
        </w:rPr>
        <w:t>financial support</w:t>
      </w:r>
      <w:r w:rsidRPr="00233986">
        <w:rPr>
          <w:rFonts w:eastAsia="Times New Roman" w:cs="Times New Roman"/>
          <w:lang w:val="en-GB" w:eastAsia="hu-HU"/>
        </w:rPr>
        <w:t>, assessed from the point of view of mobility.</w:t>
      </w:r>
      <w:r w:rsidR="00A21855">
        <w:rPr>
          <w:rFonts w:eastAsia="Times New Roman" w:cs="Times New Roman"/>
          <w:lang w:val="en-GB" w:eastAsia="hu-HU"/>
        </w:rPr>
        <w:t xml:space="preserve"> </w:t>
      </w:r>
      <w:r w:rsidRPr="00233986">
        <w:rPr>
          <w:rFonts w:eastAsia="Times New Roman" w:cs="Times New Roman"/>
          <w:lang w:val="en-GB" w:eastAsia="hu-HU"/>
        </w:rPr>
        <w:t xml:space="preserve">Applicants should note that </w:t>
      </w:r>
      <w:r>
        <w:rPr>
          <w:rFonts w:eastAsia="Times New Roman" w:cs="Times New Roman"/>
          <w:lang w:val="en-GB" w:eastAsia="hu-HU"/>
        </w:rPr>
        <w:t>the additional support</w:t>
      </w:r>
      <w:r w:rsidRPr="00233986">
        <w:rPr>
          <w:rFonts w:eastAsia="Times New Roman" w:cs="Times New Roman"/>
          <w:lang w:val="en-GB" w:eastAsia="hu-HU"/>
        </w:rPr>
        <w:t xml:space="preserve"> </w:t>
      </w:r>
      <w:r w:rsidR="00916353">
        <w:rPr>
          <w:rFonts w:eastAsia="Times New Roman" w:cs="Times New Roman"/>
          <w:lang w:val="en-GB" w:eastAsia="hu-HU"/>
        </w:rPr>
        <w:t>does</w:t>
      </w:r>
      <w:r w:rsidRPr="00233986">
        <w:rPr>
          <w:rFonts w:eastAsia="Times New Roman" w:cs="Times New Roman"/>
          <w:lang w:val="en-GB" w:eastAsia="hu-HU"/>
        </w:rPr>
        <w:t xml:space="preserve"> not always cover all additional costs incurred during mobility.</w:t>
      </w:r>
    </w:p>
    <w:p w14:paraId="7BDDF873" w14:textId="698CF5E0" w:rsidR="00176DC5" w:rsidRPr="00B713C0" w:rsidRDefault="00176DC5" w:rsidP="00A21855">
      <w:pPr>
        <w:spacing w:after="0" w:line="240" w:lineRule="auto"/>
        <w:ind w:right="848"/>
        <w:jc w:val="both"/>
        <w:rPr>
          <w:lang w:val="en-GB"/>
        </w:rPr>
      </w:pPr>
      <w:r w:rsidRPr="00B713C0">
        <w:rPr>
          <w:lang w:val="en-GB"/>
        </w:rPr>
        <w:fldChar w:fldCharType="begin"/>
      </w:r>
      <w:r w:rsidRPr="00B713C0">
        <w:rPr>
          <w:lang w:val="en-GB"/>
        </w:rPr>
        <w:instrText xml:space="preserve"> LINK Excel.Sheet.12 "Munkafüzet1" "Munka1!S1O1:S4O4" \a \f 4 \h </w:instrText>
      </w:r>
      <w:r w:rsidR="00771D24" w:rsidRPr="00B713C0">
        <w:rPr>
          <w:lang w:val="en-GB"/>
        </w:rPr>
        <w:instrText xml:space="preserve"> \* MERGEFORMAT </w:instrText>
      </w:r>
      <w:r w:rsidRPr="00B713C0">
        <w:rPr>
          <w:lang w:val="en-GB"/>
        </w:rPr>
        <w:fldChar w:fldCharType="separate"/>
      </w:r>
    </w:p>
    <w:p w14:paraId="7FEA85FE" w14:textId="68569C99" w:rsidR="00C6636D" w:rsidRPr="00DD51F8" w:rsidRDefault="00176DC5" w:rsidP="00A21855">
      <w:pPr>
        <w:pStyle w:val="Listaszerbekezds"/>
        <w:numPr>
          <w:ilvl w:val="0"/>
          <w:numId w:val="30"/>
        </w:numPr>
        <w:jc w:val="both"/>
        <w:rPr>
          <w:b/>
          <w:bCs/>
          <w:lang w:val="en-GB"/>
        </w:rPr>
      </w:pPr>
      <w:r w:rsidRPr="00B713C0">
        <w:rPr>
          <w:lang w:val="en-GB"/>
        </w:rPr>
        <w:fldChar w:fldCharType="end"/>
      </w:r>
      <w:r w:rsidR="00C6636D" w:rsidRPr="00DD51F8">
        <w:rPr>
          <w:b/>
          <w:bCs/>
          <w:lang w:val="en-GB"/>
        </w:rPr>
        <w:t>Student mobility</w:t>
      </w:r>
    </w:p>
    <w:p w14:paraId="63235D5A" w14:textId="77777777" w:rsidR="00C6636D" w:rsidRPr="00C6636D" w:rsidRDefault="00C6636D" w:rsidP="00A21855">
      <w:pPr>
        <w:spacing w:after="0" w:line="240" w:lineRule="auto"/>
        <w:ind w:right="848"/>
        <w:jc w:val="both"/>
        <w:rPr>
          <w:lang w:val="en-GB"/>
        </w:rPr>
      </w:pPr>
    </w:p>
    <w:p w14:paraId="4BA210A3" w14:textId="69F74AAB" w:rsidR="00466960" w:rsidRPr="00343A49" w:rsidRDefault="00C864B2" w:rsidP="00E56817">
      <w:pPr>
        <w:pStyle w:val="Listaszerbekezds"/>
        <w:numPr>
          <w:ilvl w:val="1"/>
          <w:numId w:val="31"/>
        </w:numPr>
        <w:jc w:val="both"/>
        <w:rPr>
          <w:b/>
          <w:bCs/>
          <w:color w:val="000000" w:themeColor="text1"/>
          <w:lang w:val="en-GB"/>
        </w:rPr>
      </w:pPr>
      <w:proofErr w:type="spellStart"/>
      <w:r w:rsidRPr="00343A49">
        <w:rPr>
          <w:b/>
          <w:bCs/>
          <w:color w:val="000000" w:themeColor="text1"/>
        </w:rPr>
        <w:t>Additional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financial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support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for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students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with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fewer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proofErr w:type="spellStart"/>
      <w:r w:rsidRPr="00343A49">
        <w:rPr>
          <w:b/>
          <w:bCs/>
          <w:color w:val="000000" w:themeColor="text1"/>
        </w:rPr>
        <w:t>opportunities</w:t>
      </w:r>
      <w:proofErr w:type="spellEnd"/>
      <w:r w:rsidRPr="00343A49">
        <w:rPr>
          <w:b/>
          <w:bCs/>
          <w:color w:val="000000" w:themeColor="text1"/>
        </w:rPr>
        <w:t xml:space="preserve"> </w:t>
      </w:r>
      <w:r w:rsidRPr="00343A49">
        <w:rPr>
          <w:color w:val="000000" w:themeColor="text1"/>
          <w:lang w:val="en-GB"/>
        </w:rPr>
        <w:t>under the category "Participants with health conditions"</w:t>
      </w:r>
      <w:r w:rsidR="00466960" w:rsidRPr="00343A49">
        <w:rPr>
          <w:color w:val="000000" w:themeColor="text1"/>
          <w:lang w:val="en-GB"/>
        </w:rPr>
        <w:t xml:space="preserve">: if the need for the </w:t>
      </w:r>
      <w:r w:rsidRPr="00343A49">
        <w:rPr>
          <w:color w:val="000000" w:themeColor="text1"/>
          <w:lang w:val="en-GB"/>
        </w:rPr>
        <w:t xml:space="preserve">additional support </w:t>
      </w:r>
      <w:r w:rsidR="00466960" w:rsidRPr="00343A49">
        <w:rPr>
          <w:color w:val="000000" w:themeColor="text1"/>
          <w:lang w:val="en-GB"/>
        </w:rPr>
        <w:t xml:space="preserve">is supported by the documents submitted, the amount of the </w:t>
      </w:r>
      <w:r w:rsidRPr="00343A49">
        <w:rPr>
          <w:color w:val="000000" w:themeColor="text1"/>
          <w:lang w:val="en-GB"/>
        </w:rPr>
        <w:t>financial support</w:t>
      </w:r>
      <w:r w:rsidR="00466960" w:rsidRPr="00343A49">
        <w:rPr>
          <w:color w:val="000000" w:themeColor="text1"/>
          <w:lang w:val="en-GB"/>
        </w:rPr>
        <w:t xml:space="preserve"> for students is </w:t>
      </w:r>
      <w:r w:rsidR="00466960" w:rsidRPr="00343A49">
        <w:rPr>
          <w:b/>
          <w:bCs/>
          <w:color w:val="000000" w:themeColor="text1"/>
          <w:lang w:val="en-GB"/>
        </w:rPr>
        <w:t>€250 per month.</w:t>
      </w:r>
      <w:r w:rsidR="00466960" w:rsidRPr="00343A49">
        <w:rPr>
          <w:color w:val="000000" w:themeColor="text1"/>
          <w:lang w:val="en-GB"/>
        </w:rPr>
        <w:t xml:space="preserve"> For short-term student mobility, a </w:t>
      </w:r>
      <w:r w:rsidR="00466960" w:rsidRPr="00343A49">
        <w:rPr>
          <w:b/>
          <w:bCs/>
          <w:color w:val="000000" w:themeColor="text1"/>
          <w:lang w:val="en-GB"/>
        </w:rPr>
        <w:t>one-off payment of €100</w:t>
      </w:r>
      <w:r w:rsidR="00466960" w:rsidRPr="00343A49">
        <w:rPr>
          <w:color w:val="000000" w:themeColor="text1"/>
          <w:lang w:val="en-GB"/>
        </w:rPr>
        <w:t xml:space="preserve"> (for mobility of 1-14 days) or </w:t>
      </w:r>
      <w:r w:rsidR="00466960" w:rsidRPr="00343A49">
        <w:rPr>
          <w:b/>
          <w:bCs/>
          <w:color w:val="000000" w:themeColor="text1"/>
          <w:lang w:val="en-GB"/>
        </w:rPr>
        <w:t>€150</w:t>
      </w:r>
      <w:r w:rsidR="00466960" w:rsidRPr="00343A49">
        <w:rPr>
          <w:color w:val="000000" w:themeColor="text1"/>
          <w:lang w:val="en-GB"/>
        </w:rPr>
        <w:t xml:space="preserve"> (for mobility of 15-30 days). In this case, </w:t>
      </w:r>
      <w:r w:rsidR="00466960" w:rsidRPr="00343A49">
        <w:rPr>
          <w:b/>
          <w:bCs/>
          <w:color w:val="000000" w:themeColor="text1"/>
          <w:lang w:val="en-GB"/>
        </w:rPr>
        <w:t>no itemised application is necessary</w:t>
      </w:r>
      <w:r w:rsidR="00466960" w:rsidRPr="00343A49">
        <w:rPr>
          <w:color w:val="000000" w:themeColor="text1"/>
          <w:lang w:val="en-GB"/>
        </w:rPr>
        <w:t>, nor is an itemised account of the use of the grant required at the end of the mobility.</w:t>
      </w:r>
    </w:p>
    <w:p w14:paraId="3A63A58E" w14:textId="77777777" w:rsidR="00466960" w:rsidRPr="00343A49" w:rsidRDefault="00466960" w:rsidP="00466960">
      <w:pPr>
        <w:pStyle w:val="Listaszerbekezds"/>
        <w:ind w:left="1440"/>
        <w:jc w:val="both"/>
        <w:rPr>
          <w:b/>
          <w:bCs/>
          <w:color w:val="000000" w:themeColor="text1"/>
          <w:lang w:val="en-GB"/>
        </w:rPr>
      </w:pPr>
    </w:p>
    <w:p w14:paraId="442E37D5" w14:textId="273709A8" w:rsidR="00C6636D" w:rsidRPr="00343A49" w:rsidRDefault="00C6636D" w:rsidP="00BA2F71">
      <w:pPr>
        <w:pStyle w:val="Listaszerbekezds"/>
        <w:numPr>
          <w:ilvl w:val="1"/>
          <w:numId w:val="31"/>
        </w:numPr>
        <w:jc w:val="both"/>
        <w:rPr>
          <w:color w:val="000000" w:themeColor="text1"/>
          <w:lang w:val="en-GB"/>
        </w:rPr>
      </w:pPr>
      <w:r w:rsidRPr="00343A49">
        <w:rPr>
          <w:color w:val="000000" w:themeColor="text1"/>
          <w:lang w:val="en-GB"/>
        </w:rPr>
        <w:t xml:space="preserve">If the student needs additional support </w:t>
      </w:r>
      <w:r w:rsidR="000D316E" w:rsidRPr="00343A49">
        <w:rPr>
          <w:b/>
          <w:bCs/>
          <w:color w:val="000000" w:themeColor="text1"/>
          <w:lang w:val="en-GB"/>
        </w:rPr>
        <w:t xml:space="preserve">exceeding 250 euros per month </w:t>
      </w:r>
      <w:r w:rsidRPr="00343A49">
        <w:rPr>
          <w:color w:val="000000" w:themeColor="text1"/>
          <w:lang w:val="en-GB"/>
        </w:rPr>
        <w:t xml:space="preserve">for the mobility or </w:t>
      </w:r>
      <w:r w:rsidRPr="00343A49">
        <w:rPr>
          <w:b/>
          <w:bCs/>
          <w:color w:val="000000" w:themeColor="text1"/>
          <w:lang w:val="en-GB"/>
        </w:rPr>
        <w:t xml:space="preserve">has applied for another </w:t>
      </w:r>
      <w:r w:rsidR="00C864B2" w:rsidRPr="00343A49">
        <w:rPr>
          <w:b/>
          <w:bCs/>
          <w:color w:val="000000" w:themeColor="text1"/>
          <w:lang w:val="en-GB"/>
        </w:rPr>
        <w:t xml:space="preserve">category in </w:t>
      </w:r>
      <w:proofErr w:type="spellStart"/>
      <w:r w:rsidR="00C864B2" w:rsidRPr="00343A49">
        <w:rPr>
          <w:b/>
          <w:bCs/>
          <w:color w:val="000000" w:themeColor="text1"/>
        </w:rPr>
        <w:t>Additional</w:t>
      </w:r>
      <w:proofErr w:type="spellEnd"/>
      <w:r w:rsidR="00C864B2" w:rsidRPr="00343A49">
        <w:rPr>
          <w:b/>
          <w:bCs/>
          <w:color w:val="000000" w:themeColor="text1"/>
        </w:rPr>
        <w:t xml:space="preserve"> </w:t>
      </w:r>
      <w:proofErr w:type="spellStart"/>
      <w:r w:rsidR="00C864B2" w:rsidRPr="00343A49">
        <w:rPr>
          <w:b/>
          <w:bCs/>
          <w:color w:val="000000" w:themeColor="text1"/>
        </w:rPr>
        <w:t>financial</w:t>
      </w:r>
      <w:proofErr w:type="spellEnd"/>
      <w:r w:rsidR="00C864B2" w:rsidRPr="00343A49">
        <w:rPr>
          <w:b/>
          <w:bCs/>
          <w:color w:val="000000" w:themeColor="text1"/>
        </w:rPr>
        <w:t xml:space="preserve"> </w:t>
      </w:r>
      <w:proofErr w:type="spellStart"/>
      <w:r w:rsidR="00C864B2" w:rsidRPr="00343A49">
        <w:rPr>
          <w:b/>
          <w:bCs/>
          <w:color w:val="000000" w:themeColor="text1"/>
        </w:rPr>
        <w:t>support</w:t>
      </w:r>
      <w:proofErr w:type="spellEnd"/>
      <w:r w:rsidR="00C864B2" w:rsidRPr="00343A49">
        <w:rPr>
          <w:b/>
          <w:bCs/>
          <w:color w:val="000000" w:themeColor="text1"/>
        </w:rPr>
        <w:t xml:space="preserve"> </w:t>
      </w:r>
      <w:proofErr w:type="spellStart"/>
      <w:r w:rsidR="00C864B2" w:rsidRPr="00343A49">
        <w:rPr>
          <w:b/>
          <w:bCs/>
          <w:color w:val="000000" w:themeColor="text1"/>
        </w:rPr>
        <w:t>for</w:t>
      </w:r>
      <w:proofErr w:type="spellEnd"/>
      <w:r w:rsidR="00C864B2" w:rsidRPr="00343A49">
        <w:rPr>
          <w:b/>
          <w:bCs/>
          <w:color w:val="000000" w:themeColor="text1"/>
        </w:rPr>
        <w:t xml:space="preserve"> </w:t>
      </w:r>
      <w:proofErr w:type="spellStart"/>
      <w:r w:rsidR="00C864B2" w:rsidRPr="00343A49">
        <w:rPr>
          <w:b/>
          <w:bCs/>
          <w:color w:val="000000" w:themeColor="text1"/>
        </w:rPr>
        <w:t>students</w:t>
      </w:r>
      <w:proofErr w:type="spellEnd"/>
      <w:r w:rsidR="00C864B2" w:rsidRPr="00343A49">
        <w:rPr>
          <w:b/>
          <w:bCs/>
          <w:color w:val="000000" w:themeColor="text1"/>
        </w:rPr>
        <w:t xml:space="preserve"> </w:t>
      </w:r>
      <w:proofErr w:type="spellStart"/>
      <w:r w:rsidR="00C864B2" w:rsidRPr="00343A49">
        <w:rPr>
          <w:b/>
          <w:bCs/>
          <w:color w:val="000000" w:themeColor="text1"/>
        </w:rPr>
        <w:t>with</w:t>
      </w:r>
      <w:proofErr w:type="spellEnd"/>
      <w:r w:rsidR="00C864B2" w:rsidRPr="00343A49">
        <w:rPr>
          <w:b/>
          <w:bCs/>
          <w:color w:val="000000" w:themeColor="text1"/>
        </w:rPr>
        <w:t xml:space="preserve"> </w:t>
      </w:r>
      <w:proofErr w:type="spellStart"/>
      <w:r w:rsidR="00C864B2" w:rsidRPr="00343A49">
        <w:rPr>
          <w:b/>
          <w:bCs/>
          <w:color w:val="000000" w:themeColor="text1"/>
        </w:rPr>
        <w:t>fewer</w:t>
      </w:r>
      <w:proofErr w:type="spellEnd"/>
      <w:r w:rsidR="00C864B2" w:rsidRPr="00343A49">
        <w:rPr>
          <w:b/>
          <w:bCs/>
          <w:color w:val="000000" w:themeColor="text1"/>
        </w:rPr>
        <w:t xml:space="preserve"> </w:t>
      </w:r>
      <w:proofErr w:type="spellStart"/>
      <w:r w:rsidR="00C864B2" w:rsidRPr="00343A49">
        <w:rPr>
          <w:b/>
          <w:bCs/>
          <w:color w:val="000000" w:themeColor="text1"/>
        </w:rPr>
        <w:t>opportunities</w:t>
      </w:r>
      <w:proofErr w:type="spellEnd"/>
      <w:r w:rsidRPr="00343A49">
        <w:rPr>
          <w:color w:val="000000" w:themeColor="text1"/>
          <w:lang w:val="en-GB"/>
        </w:rPr>
        <w:t xml:space="preserve">, </w:t>
      </w:r>
      <w:r w:rsidR="00466960" w:rsidRPr="00343A49">
        <w:rPr>
          <w:b/>
          <w:bCs/>
          <w:color w:val="000000" w:themeColor="text1"/>
          <w:u w:val="single"/>
          <w:lang w:val="en-GB"/>
        </w:rPr>
        <w:t>additional support may only be applied for with an itemi</w:t>
      </w:r>
      <w:r w:rsidR="00C864B2" w:rsidRPr="00343A49">
        <w:rPr>
          <w:b/>
          <w:bCs/>
          <w:color w:val="000000" w:themeColor="text1"/>
          <w:u w:val="single"/>
          <w:lang w:val="en-GB"/>
        </w:rPr>
        <w:t>s</w:t>
      </w:r>
      <w:r w:rsidR="00466960" w:rsidRPr="00343A49">
        <w:rPr>
          <w:b/>
          <w:bCs/>
          <w:color w:val="000000" w:themeColor="text1"/>
          <w:u w:val="single"/>
          <w:lang w:val="en-GB"/>
        </w:rPr>
        <w:t xml:space="preserve">ed claim and an </w:t>
      </w:r>
      <w:r w:rsidR="00C864B2" w:rsidRPr="00343A49">
        <w:rPr>
          <w:b/>
          <w:bCs/>
          <w:color w:val="000000" w:themeColor="text1"/>
          <w:u w:val="single"/>
          <w:lang w:val="en-GB"/>
        </w:rPr>
        <w:t>itemised account of the use of the grant</w:t>
      </w:r>
      <w:r w:rsidR="00466960" w:rsidRPr="00343A49">
        <w:rPr>
          <w:color w:val="000000" w:themeColor="text1"/>
          <w:lang w:val="en-GB"/>
        </w:rPr>
        <w:t>.</w:t>
      </w:r>
      <w:r w:rsidRPr="00343A49">
        <w:rPr>
          <w:color w:val="000000" w:themeColor="text1"/>
          <w:lang w:val="en-GB"/>
        </w:rPr>
        <w:t xml:space="preserve"> In this case, the applicant must </w:t>
      </w:r>
      <w:r w:rsidR="0058408E" w:rsidRPr="00343A49">
        <w:rPr>
          <w:b/>
          <w:bCs/>
          <w:color w:val="000000" w:themeColor="text1"/>
          <w:lang w:val="en-GB"/>
        </w:rPr>
        <w:t>list the items</w:t>
      </w:r>
      <w:r w:rsidRPr="00343A49">
        <w:rPr>
          <w:color w:val="000000" w:themeColor="text1"/>
          <w:lang w:val="en-GB"/>
        </w:rPr>
        <w:t xml:space="preserve"> in the application form for which </w:t>
      </w:r>
      <w:r w:rsidR="00C864B2" w:rsidRPr="00343A49">
        <w:rPr>
          <w:color w:val="000000" w:themeColor="text1"/>
          <w:lang w:val="en-GB"/>
        </w:rPr>
        <w:t>they</w:t>
      </w:r>
      <w:r w:rsidRPr="00343A49">
        <w:rPr>
          <w:color w:val="000000" w:themeColor="text1"/>
          <w:lang w:val="en-GB"/>
        </w:rPr>
        <w:t xml:space="preserve"> require additional support and the amount of support requested. </w:t>
      </w:r>
      <w:r w:rsidRPr="00343A49">
        <w:rPr>
          <w:b/>
          <w:bCs/>
          <w:color w:val="000000" w:themeColor="text1"/>
          <w:lang w:val="en-GB"/>
        </w:rPr>
        <w:t>The application form must indicate the amounts requested for the whole period.</w:t>
      </w:r>
      <w:r w:rsidRPr="00343A49">
        <w:rPr>
          <w:color w:val="000000" w:themeColor="text1"/>
          <w:lang w:val="en-GB"/>
        </w:rPr>
        <w:t xml:space="preserve"> Only items closely linked to the stay abroad may be supported. If, </w:t>
      </w:r>
      <w:r w:rsidR="00293D23" w:rsidRPr="00343A49">
        <w:rPr>
          <w:color w:val="000000" w:themeColor="text1"/>
          <w:lang w:val="en-GB"/>
        </w:rPr>
        <w:t>based on</w:t>
      </w:r>
      <w:r w:rsidRPr="00343A49">
        <w:rPr>
          <w:color w:val="000000" w:themeColor="text1"/>
          <w:lang w:val="en-GB"/>
        </w:rPr>
        <w:t xml:space="preserve"> the documents submitted, the amount of the additional </w:t>
      </w:r>
      <w:r w:rsidR="0011153C" w:rsidRPr="00343A49">
        <w:rPr>
          <w:color w:val="000000" w:themeColor="text1"/>
          <w:lang w:val="en-GB"/>
        </w:rPr>
        <w:t xml:space="preserve">financial support </w:t>
      </w:r>
      <w:r w:rsidRPr="00343A49">
        <w:rPr>
          <w:color w:val="000000" w:themeColor="text1"/>
          <w:lang w:val="en-GB"/>
        </w:rPr>
        <w:t xml:space="preserve">proposed by the medical experts exceeds 250 </w:t>
      </w:r>
      <w:r w:rsidR="00145938" w:rsidRPr="00343A49">
        <w:rPr>
          <w:color w:val="000000" w:themeColor="text1"/>
          <w:lang w:val="en-GB"/>
        </w:rPr>
        <w:t xml:space="preserve">euros </w:t>
      </w:r>
      <w:r w:rsidRPr="00343A49">
        <w:rPr>
          <w:color w:val="000000" w:themeColor="text1"/>
          <w:lang w:val="en-GB"/>
        </w:rPr>
        <w:t xml:space="preserve">per month, </w:t>
      </w:r>
      <w:r w:rsidRPr="00343A49">
        <w:rPr>
          <w:b/>
          <w:bCs/>
          <w:color w:val="000000" w:themeColor="text1"/>
          <w:lang w:val="en-GB"/>
        </w:rPr>
        <w:t>only the amount exceeding 250</w:t>
      </w:r>
      <w:r w:rsidR="00145938" w:rsidRPr="00343A49">
        <w:rPr>
          <w:b/>
          <w:bCs/>
          <w:color w:val="000000" w:themeColor="text1"/>
          <w:lang w:val="en-GB"/>
        </w:rPr>
        <w:t xml:space="preserve"> euros</w:t>
      </w:r>
      <w:r w:rsidRPr="00343A49">
        <w:rPr>
          <w:b/>
          <w:bCs/>
          <w:color w:val="000000" w:themeColor="text1"/>
          <w:lang w:val="en-GB"/>
        </w:rPr>
        <w:t xml:space="preserve"> per month must be accounted for by the </w:t>
      </w:r>
      <w:r w:rsidR="00822B8A" w:rsidRPr="00343A49">
        <w:rPr>
          <w:b/>
          <w:bCs/>
          <w:color w:val="000000" w:themeColor="text1"/>
          <w:lang w:val="en-GB"/>
        </w:rPr>
        <w:t>outgoing participant</w:t>
      </w:r>
      <w:r w:rsidRPr="00343A49">
        <w:rPr>
          <w:b/>
          <w:bCs/>
          <w:color w:val="000000" w:themeColor="text1"/>
          <w:lang w:val="en-GB"/>
        </w:rPr>
        <w:t xml:space="preserve">, supported by invoices. </w:t>
      </w:r>
      <w:r w:rsidR="00D87A5C" w:rsidRPr="00343A49">
        <w:rPr>
          <w:color w:val="000000" w:themeColor="text1"/>
          <w:lang w:val="en-GB"/>
        </w:rPr>
        <w:t xml:space="preserve">If the student </w:t>
      </w:r>
      <w:r w:rsidR="0011153C" w:rsidRPr="00343A49">
        <w:rPr>
          <w:color w:val="000000" w:themeColor="text1"/>
          <w:lang w:val="en-GB"/>
        </w:rPr>
        <w:t xml:space="preserve">also receives </w:t>
      </w:r>
      <w:r w:rsidR="00D87A5C" w:rsidRPr="00343A49">
        <w:rPr>
          <w:color w:val="000000" w:themeColor="text1"/>
          <w:lang w:val="en-GB"/>
        </w:rPr>
        <w:t xml:space="preserve">additional support </w:t>
      </w:r>
      <w:r w:rsidR="0011153C" w:rsidRPr="00343A49">
        <w:rPr>
          <w:color w:val="000000" w:themeColor="text1"/>
          <w:lang w:val="en-GB"/>
        </w:rPr>
        <w:t xml:space="preserve">from </w:t>
      </w:r>
      <w:proofErr w:type="spellStart"/>
      <w:r w:rsidR="0011153C" w:rsidRPr="00343A49">
        <w:rPr>
          <w:color w:val="000000" w:themeColor="text1"/>
        </w:rPr>
        <w:t>Additional</w:t>
      </w:r>
      <w:proofErr w:type="spellEnd"/>
      <w:r w:rsidR="0011153C" w:rsidRPr="00343A49">
        <w:rPr>
          <w:color w:val="000000" w:themeColor="text1"/>
        </w:rPr>
        <w:t xml:space="preserve"> </w:t>
      </w:r>
      <w:proofErr w:type="spellStart"/>
      <w:r w:rsidR="0011153C" w:rsidRPr="00343A49">
        <w:rPr>
          <w:color w:val="000000" w:themeColor="text1"/>
        </w:rPr>
        <w:t>financial</w:t>
      </w:r>
      <w:proofErr w:type="spellEnd"/>
      <w:r w:rsidR="0011153C" w:rsidRPr="00343A49">
        <w:rPr>
          <w:color w:val="000000" w:themeColor="text1"/>
        </w:rPr>
        <w:t xml:space="preserve"> </w:t>
      </w:r>
      <w:proofErr w:type="spellStart"/>
      <w:r w:rsidR="0011153C" w:rsidRPr="00343A49">
        <w:rPr>
          <w:color w:val="000000" w:themeColor="text1"/>
        </w:rPr>
        <w:t>support</w:t>
      </w:r>
      <w:proofErr w:type="spellEnd"/>
      <w:r w:rsidR="0011153C" w:rsidRPr="00343A49">
        <w:rPr>
          <w:color w:val="000000" w:themeColor="text1"/>
        </w:rPr>
        <w:t xml:space="preserve"> </w:t>
      </w:r>
      <w:proofErr w:type="spellStart"/>
      <w:r w:rsidR="0011153C" w:rsidRPr="00343A49">
        <w:rPr>
          <w:color w:val="000000" w:themeColor="text1"/>
        </w:rPr>
        <w:t>for</w:t>
      </w:r>
      <w:proofErr w:type="spellEnd"/>
      <w:r w:rsidR="0011153C" w:rsidRPr="00343A49">
        <w:rPr>
          <w:color w:val="000000" w:themeColor="text1"/>
        </w:rPr>
        <w:t xml:space="preserve"> </w:t>
      </w:r>
      <w:proofErr w:type="spellStart"/>
      <w:r w:rsidR="0011153C" w:rsidRPr="00343A49">
        <w:rPr>
          <w:color w:val="000000" w:themeColor="text1"/>
        </w:rPr>
        <w:t>students</w:t>
      </w:r>
      <w:proofErr w:type="spellEnd"/>
      <w:r w:rsidR="0011153C" w:rsidRPr="00343A49">
        <w:rPr>
          <w:color w:val="000000" w:themeColor="text1"/>
        </w:rPr>
        <w:t xml:space="preserve"> </w:t>
      </w:r>
      <w:proofErr w:type="spellStart"/>
      <w:r w:rsidR="0011153C" w:rsidRPr="00343A49">
        <w:rPr>
          <w:color w:val="000000" w:themeColor="text1"/>
        </w:rPr>
        <w:t>with</w:t>
      </w:r>
      <w:proofErr w:type="spellEnd"/>
      <w:r w:rsidR="0011153C" w:rsidRPr="00343A49">
        <w:rPr>
          <w:color w:val="000000" w:themeColor="text1"/>
        </w:rPr>
        <w:t xml:space="preserve"> </w:t>
      </w:r>
      <w:proofErr w:type="spellStart"/>
      <w:r w:rsidR="0011153C" w:rsidRPr="00343A49">
        <w:rPr>
          <w:color w:val="000000" w:themeColor="text1"/>
        </w:rPr>
        <w:t>fewer</w:t>
      </w:r>
      <w:proofErr w:type="spellEnd"/>
      <w:r w:rsidR="0011153C" w:rsidRPr="00343A49">
        <w:rPr>
          <w:color w:val="000000" w:themeColor="text1"/>
        </w:rPr>
        <w:t xml:space="preserve"> </w:t>
      </w:r>
      <w:proofErr w:type="spellStart"/>
      <w:r w:rsidR="0011153C" w:rsidRPr="00343A49">
        <w:rPr>
          <w:color w:val="000000" w:themeColor="text1"/>
        </w:rPr>
        <w:t>opportunities</w:t>
      </w:r>
      <w:proofErr w:type="spellEnd"/>
      <w:r w:rsidR="0011153C" w:rsidRPr="00343A49">
        <w:rPr>
          <w:color w:val="000000" w:themeColor="text1"/>
        </w:rPr>
        <w:t xml:space="preserve"> </w:t>
      </w:r>
      <w:proofErr w:type="spellStart"/>
      <w:r w:rsidR="0011153C" w:rsidRPr="00343A49">
        <w:rPr>
          <w:color w:val="000000" w:themeColor="text1"/>
        </w:rPr>
        <w:t>grant</w:t>
      </w:r>
      <w:proofErr w:type="spellEnd"/>
      <w:r w:rsidR="00D87A5C" w:rsidRPr="00343A49">
        <w:rPr>
          <w:color w:val="000000" w:themeColor="text1"/>
          <w:lang w:val="en-GB"/>
        </w:rPr>
        <w:t>,</w:t>
      </w:r>
      <w:r w:rsidR="0011153C" w:rsidRPr="00343A49">
        <w:rPr>
          <w:color w:val="000000" w:themeColor="text1"/>
          <w:lang w:val="en-GB"/>
        </w:rPr>
        <w:t xml:space="preserve"> they</w:t>
      </w:r>
      <w:r w:rsidR="00D87A5C" w:rsidRPr="00343A49">
        <w:rPr>
          <w:color w:val="000000" w:themeColor="text1"/>
          <w:lang w:val="en-GB"/>
        </w:rPr>
        <w:t xml:space="preserve"> must </w:t>
      </w:r>
      <w:r w:rsidR="00D87A5C" w:rsidRPr="00343A49">
        <w:rPr>
          <w:b/>
          <w:bCs/>
          <w:color w:val="000000" w:themeColor="text1"/>
          <w:lang w:val="en-GB"/>
        </w:rPr>
        <w:t>account for the total amount</w:t>
      </w:r>
      <w:r w:rsidR="00D87A5C" w:rsidRPr="00343A49">
        <w:rPr>
          <w:color w:val="000000" w:themeColor="text1"/>
          <w:lang w:val="en-GB"/>
        </w:rPr>
        <w:t xml:space="preserve"> indicated by the medical experts.</w:t>
      </w:r>
    </w:p>
    <w:p w14:paraId="3C20B401" w14:textId="77777777" w:rsidR="00C6636D" w:rsidRPr="00C6636D" w:rsidRDefault="00C6636D" w:rsidP="00C6636D">
      <w:pPr>
        <w:spacing w:after="0" w:line="240" w:lineRule="auto"/>
        <w:ind w:right="848"/>
        <w:jc w:val="both"/>
        <w:rPr>
          <w:lang w:val="en-GB"/>
        </w:rPr>
      </w:pPr>
    </w:p>
    <w:tbl>
      <w:tblPr>
        <w:tblW w:w="10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3543"/>
        <w:gridCol w:w="2268"/>
        <w:gridCol w:w="2268"/>
      </w:tblGrid>
      <w:tr w:rsidR="00343A49" w:rsidRPr="00343A49" w14:paraId="4E2847AC" w14:textId="0316B1E1" w:rsidTr="009327F7">
        <w:trPr>
          <w:trHeight w:val="623"/>
          <w:jc w:val="center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D51C9C" w14:textId="1DE5AA52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  <w:t>Student mobility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B77234" w14:textId="6445D672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  <w:t>Amount of support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FC1917" w14:textId="1AC25394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  <w:t>Form of application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A4ED17" w14:textId="6402D6EC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  <w:t>Settlement</w:t>
            </w:r>
          </w:p>
        </w:tc>
      </w:tr>
      <w:tr w:rsidR="00343A49" w:rsidRPr="00343A49" w14:paraId="6BBD7301" w14:textId="1C20DE58" w:rsidTr="009327F7">
        <w:trPr>
          <w:trHeight w:val="315"/>
          <w:jc w:val="center"/>
        </w:trPr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73C9" w14:textId="0C9579AF" w:rsidR="00D87A5C" w:rsidRPr="00343A49" w:rsidRDefault="00D87A5C" w:rsidP="00D87A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  <w:t>for study</w:t>
            </w:r>
            <w:r w:rsidR="0011153C" w:rsidRPr="00343A49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  <w:t xml:space="preserve"> </w:t>
            </w: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  <w:t>/ traineeship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F236" w14:textId="32FA0E4D" w:rsidR="00D87A5C" w:rsidRPr="00343A49" w:rsidRDefault="00D87A5C" w:rsidP="00D87A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>a flat rate of €250/month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CC3" w14:textId="2699E3BF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>flat rate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C8D5C4" w14:textId="715B73C6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>N/A</w:t>
            </w:r>
          </w:p>
        </w:tc>
      </w:tr>
      <w:tr w:rsidR="00343A49" w:rsidRPr="00343A49" w14:paraId="02ABCB24" w14:textId="4BD3D392" w:rsidTr="009327F7">
        <w:trPr>
          <w:trHeight w:val="315"/>
          <w:jc w:val="center"/>
        </w:trPr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CD0C" w14:textId="5D986BA0" w:rsidR="00D87A5C" w:rsidRPr="00343A49" w:rsidRDefault="00D87A5C" w:rsidP="00D87A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  <w:t>for short-term student mobility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E271" w14:textId="6E05C893" w:rsidR="00D87A5C" w:rsidRPr="00343A49" w:rsidRDefault="00D87A5C" w:rsidP="00D87A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 xml:space="preserve">a one-off amount of €100 (for mobility of 1-14 days), </w:t>
            </w:r>
          </w:p>
          <w:p w14:paraId="55FE7C0B" w14:textId="10B3FBC5" w:rsidR="00D87A5C" w:rsidRPr="00343A49" w:rsidRDefault="00D87A5C" w:rsidP="00D87A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>or €150 (for mobility of 15-30 days)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A39B" w14:textId="78C2E62F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>flat rate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E99953" w14:textId="1FDA5C2B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>N/A</w:t>
            </w:r>
          </w:p>
        </w:tc>
      </w:tr>
      <w:tr w:rsidR="00343A49" w:rsidRPr="00343A49" w14:paraId="4B111594" w14:textId="77C1E36F" w:rsidTr="009327F7">
        <w:trPr>
          <w:trHeight w:val="525"/>
          <w:jc w:val="center"/>
        </w:trPr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CA38" w14:textId="4775A091" w:rsidR="00D87A5C" w:rsidRPr="00343A49" w:rsidRDefault="00D87A5C" w:rsidP="00D87A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  <w:t>for requests over €250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8B49" w14:textId="5AAA9CE4" w:rsidR="00D87A5C" w:rsidRPr="00343A49" w:rsidRDefault="00D87A5C" w:rsidP="00D87A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>amount proposed by the medical experts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197F" w14:textId="35FDCD7C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val="en-GB" w:eastAsia="hu-HU"/>
              </w:rPr>
              <w:t>Itemised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1A17D4" w14:textId="27A73DD0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 xml:space="preserve">Itemised list of all other costs on top of the initial €250 </w:t>
            </w:r>
          </w:p>
        </w:tc>
      </w:tr>
      <w:tr w:rsidR="00343A49" w:rsidRPr="00343A49" w14:paraId="3CB4A24C" w14:textId="77777777" w:rsidTr="009327F7">
        <w:trPr>
          <w:trHeight w:val="525"/>
          <w:jc w:val="center"/>
        </w:trPr>
        <w:tc>
          <w:tcPr>
            <w:tcW w:w="2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97409C" w14:textId="057A3A1E" w:rsidR="00D87A5C" w:rsidRPr="00343A49" w:rsidRDefault="00D87A5C" w:rsidP="00D87A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  <w:t xml:space="preserve">For students who also receive </w:t>
            </w:r>
            <w:r w:rsidR="0011153C" w:rsidRPr="00343A49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  <w:t xml:space="preserve">fewer </w:t>
            </w: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  <w:lastRenderedPageBreak/>
              <w:t>opportunities support on other grounds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967E42" w14:textId="672BF6C2" w:rsidR="00D87A5C" w:rsidRPr="00343A49" w:rsidRDefault="00D87A5C" w:rsidP="00D87A5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lastRenderedPageBreak/>
              <w:t>amount proposed by the medical experts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767ECC" w14:textId="155D43C6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  <w:lang w:val="en-GB" w:eastAsia="hu-HU"/>
              </w:rPr>
              <w:t>Itemised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2344" w14:textId="291C85F3" w:rsidR="00D87A5C" w:rsidRPr="00343A49" w:rsidRDefault="00D87A5C" w:rsidP="00D87A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>Itemised list for the total amount</w:t>
            </w:r>
          </w:p>
        </w:tc>
      </w:tr>
    </w:tbl>
    <w:p w14:paraId="4B4CBD1A" w14:textId="6975B3FE" w:rsidR="00BF367A" w:rsidRDefault="00BF367A" w:rsidP="00C6636D">
      <w:pPr>
        <w:spacing w:after="0" w:line="240" w:lineRule="auto"/>
        <w:ind w:right="848"/>
        <w:jc w:val="both"/>
      </w:pPr>
    </w:p>
    <w:p w14:paraId="52A1CC0D" w14:textId="74D21E27" w:rsidR="00C10CAE" w:rsidRPr="00EC37F6" w:rsidRDefault="00EC37F6" w:rsidP="00C10CAE">
      <w:pPr>
        <w:pStyle w:val="Szvegtrzs"/>
        <w:numPr>
          <w:ilvl w:val="0"/>
          <w:numId w:val="30"/>
        </w:numPr>
        <w:spacing w:after="0"/>
        <w:jc w:val="both"/>
        <w:rPr>
          <w:rFonts w:asciiTheme="minorHAnsi" w:hAnsiTheme="minorHAnsi"/>
          <w:bCs/>
          <w:sz w:val="22"/>
          <w:szCs w:val="22"/>
          <w:lang w:val="en-GB"/>
        </w:rPr>
      </w:pPr>
      <w:r w:rsidRPr="00EC37F6">
        <w:rPr>
          <w:rFonts w:asciiTheme="minorHAnsi" w:hAnsiTheme="minorHAnsi"/>
          <w:bCs/>
          <w:sz w:val="22"/>
          <w:szCs w:val="22"/>
          <w:lang w:val="en-GB"/>
        </w:rPr>
        <w:t xml:space="preserve">In all cases of mobility of </w:t>
      </w:r>
      <w:r w:rsidRPr="00EC37F6">
        <w:rPr>
          <w:rFonts w:asciiTheme="minorHAnsi" w:hAnsiTheme="minorHAnsi"/>
          <w:b/>
          <w:sz w:val="22"/>
          <w:szCs w:val="22"/>
          <w:lang w:val="en-GB"/>
        </w:rPr>
        <w:t>higher education staff</w:t>
      </w:r>
      <w:r w:rsidRPr="00EC37F6">
        <w:rPr>
          <w:rFonts w:asciiTheme="minorHAnsi" w:hAnsiTheme="minorHAnsi"/>
          <w:bCs/>
          <w:sz w:val="22"/>
          <w:szCs w:val="22"/>
          <w:lang w:val="en-GB"/>
        </w:rPr>
        <w:t xml:space="preserve">, an itemised list of the items requested is required at the time of application and the outgoing staff member must provide invoices to prove the use of the full </w:t>
      </w:r>
      <w:r>
        <w:rPr>
          <w:rFonts w:asciiTheme="minorHAnsi" w:hAnsiTheme="minorHAnsi"/>
          <w:bCs/>
          <w:sz w:val="22"/>
          <w:szCs w:val="22"/>
          <w:lang w:val="en-GB"/>
        </w:rPr>
        <w:t>amount of the additional support</w:t>
      </w:r>
      <w:r w:rsidRPr="00EC37F6">
        <w:rPr>
          <w:rFonts w:asciiTheme="minorHAnsi" w:hAnsiTheme="minorHAnsi"/>
          <w:bCs/>
          <w:sz w:val="22"/>
          <w:szCs w:val="22"/>
          <w:lang w:val="en-GB"/>
        </w:rPr>
        <w:t xml:space="preserve"> awarded at the end of the mobility. </w:t>
      </w:r>
      <w:r w:rsidR="00C10CAE" w:rsidRPr="00EC37F6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</w:p>
    <w:p w14:paraId="63870052" w14:textId="77777777" w:rsidR="00C10CAE" w:rsidRPr="00C10CAE" w:rsidRDefault="00C10CAE" w:rsidP="00C6636D">
      <w:pPr>
        <w:spacing w:after="0" w:line="240" w:lineRule="auto"/>
        <w:ind w:right="848"/>
        <w:jc w:val="both"/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2359"/>
        <w:gridCol w:w="2325"/>
        <w:gridCol w:w="1559"/>
        <w:gridCol w:w="557"/>
      </w:tblGrid>
      <w:tr w:rsidR="00343A49" w:rsidRPr="00343A49" w14:paraId="65463AAF" w14:textId="1EB55350" w:rsidTr="00192ACA">
        <w:trPr>
          <w:gridAfter w:val="1"/>
          <w:wAfter w:w="557" w:type="dxa"/>
          <w:trHeight w:val="509"/>
          <w:jc w:val="center"/>
        </w:trPr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B1054D" w14:textId="0542CB68" w:rsidR="00192ACA" w:rsidRPr="00343A49" w:rsidRDefault="00192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  <w:t>Mobility of higher education staff</w:t>
            </w:r>
          </w:p>
        </w:tc>
        <w:tc>
          <w:tcPr>
            <w:tcW w:w="2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251651" w14:textId="4F1018EA" w:rsidR="00192ACA" w:rsidRPr="00343A49" w:rsidRDefault="00192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  <w:t>Amount of support</w:t>
            </w:r>
          </w:p>
        </w:tc>
        <w:tc>
          <w:tcPr>
            <w:tcW w:w="23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D5F5E0" w14:textId="7B61A32E" w:rsidR="00192ACA" w:rsidRPr="00343A49" w:rsidRDefault="00192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  <w:t>Form of application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49E7B9" w14:textId="0FF5AA8A" w:rsidR="00192ACA" w:rsidRPr="00343A49" w:rsidRDefault="00192ACA" w:rsidP="00192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  <w:t>Settlement</w:t>
            </w:r>
          </w:p>
        </w:tc>
      </w:tr>
      <w:tr w:rsidR="00343A49" w:rsidRPr="00343A49" w14:paraId="5FE7B4C1" w14:textId="77777777" w:rsidTr="00192ACA">
        <w:trPr>
          <w:trHeight w:val="5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64123" w14:textId="77777777" w:rsidR="00192ACA" w:rsidRPr="00343A49" w:rsidRDefault="00192ACA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DCC54" w14:textId="77777777" w:rsidR="00192ACA" w:rsidRPr="00343A49" w:rsidRDefault="00192ACA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</w:p>
        </w:tc>
        <w:tc>
          <w:tcPr>
            <w:tcW w:w="23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4B2F2" w14:textId="77777777" w:rsidR="00192ACA" w:rsidRPr="00343A49" w:rsidRDefault="00192ACA">
            <w:pPr>
              <w:spacing w:after="0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029B" w14:textId="77777777" w:rsidR="00192ACA" w:rsidRPr="00343A49" w:rsidRDefault="00192ACA">
            <w:pP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  <w:hideMark/>
          </w:tcPr>
          <w:p w14:paraId="0FE1AE48" w14:textId="074B7EE0" w:rsidR="00192ACA" w:rsidRPr="00343A49" w:rsidRDefault="00192ACA">
            <w:pP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0"/>
                <w:lang w:val="en-GB" w:eastAsia="hu-HU"/>
              </w:rPr>
            </w:pPr>
          </w:p>
        </w:tc>
      </w:tr>
      <w:tr w:rsidR="00343A49" w:rsidRPr="00343A49" w14:paraId="46E22594" w14:textId="77777777" w:rsidTr="009327F7">
        <w:trPr>
          <w:trHeight w:val="315"/>
          <w:jc w:val="center"/>
        </w:trPr>
        <w:tc>
          <w:tcPr>
            <w:tcW w:w="2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E3D95" w14:textId="152D3E43" w:rsidR="00192ACA" w:rsidRPr="00343A49" w:rsidRDefault="00192AC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val="en-GB" w:eastAsia="hu-HU"/>
              </w:rPr>
              <w:t>Teaching or training mobility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D656E" w14:textId="1F9932AA" w:rsidR="00192ACA" w:rsidRPr="00343A49" w:rsidRDefault="00192AC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>amount proposed by the medical experts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0900CF" w14:textId="7FDE95BC" w:rsidR="00192ACA" w:rsidRPr="00343A49" w:rsidRDefault="00192ACA" w:rsidP="009327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>Itemised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8412" w14:textId="2B4286C5" w:rsidR="00192ACA" w:rsidRPr="00343A49" w:rsidRDefault="00192ACA">
            <w:pPr>
              <w:spacing w:after="0"/>
              <w:rPr>
                <w:color w:val="000000" w:themeColor="text1"/>
                <w:sz w:val="20"/>
                <w:szCs w:val="20"/>
                <w:lang w:val="en-GB" w:eastAsia="en-GB"/>
              </w:rPr>
            </w:pPr>
            <w:r w:rsidRPr="00343A49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val="en-GB" w:eastAsia="hu-HU"/>
              </w:rPr>
              <w:t>Itemised list for the total amount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  <w:hideMark/>
          </w:tcPr>
          <w:p w14:paraId="7E70C27D" w14:textId="5023ED18" w:rsidR="00192ACA" w:rsidRPr="00343A49" w:rsidRDefault="00192ACA">
            <w:pPr>
              <w:spacing w:after="0"/>
              <w:rPr>
                <w:color w:val="000000" w:themeColor="text1"/>
                <w:sz w:val="20"/>
                <w:szCs w:val="20"/>
                <w:lang w:val="en-GB" w:eastAsia="en-GB"/>
              </w:rPr>
            </w:pPr>
          </w:p>
        </w:tc>
      </w:tr>
    </w:tbl>
    <w:p w14:paraId="2678167C" w14:textId="77777777" w:rsidR="00DD51F8" w:rsidRPr="00C10CAE" w:rsidRDefault="00DD51F8" w:rsidP="00A5197B">
      <w:pPr>
        <w:spacing w:after="0" w:line="240" w:lineRule="auto"/>
        <w:jc w:val="both"/>
      </w:pPr>
    </w:p>
    <w:p w14:paraId="4A9418FA" w14:textId="6CC87575" w:rsidR="00702AF6" w:rsidRDefault="00971750" w:rsidP="00C10CAE">
      <w:pPr>
        <w:pStyle w:val="Cmsor2"/>
        <w:spacing w:before="0" w:line="240" w:lineRule="auto"/>
        <w:jc w:val="both"/>
        <w:rPr>
          <w:rFonts w:asciiTheme="minorHAnsi" w:hAnsiTheme="minorHAnsi"/>
          <w:lang w:val="en-GB"/>
        </w:rPr>
      </w:pPr>
      <w:r w:rsidRPr="00B713C0">
        <w:rPr>
          <w:rFonts w:asciiTheme="minorHAnsi" w:hAnsiTheme="minorHAnsi"/>
          <w:lang w:val="en-GB"/>
        </w:rPr>
        <w:t>Use of support, settlement</w:t>
      </w:r>
    </w:p>
    <w:p w14:paraId="614EE969" w14:textId="77777777" w:rsidR="00C10CAE" w:rsidRPr="00C10CAE" w:rsidRDefault="00C10CAE" w:rsidP="00C10CAE">
      <w:pPr>
        <w:spacing w:after="0"/>
        <w:rPr>
          <w:lang w:val="en-GB"/>
        </w:rPr>
      </w:pPr>
    </w:p>
    <w:p w14:paraId="14EA98A8" w14:textId="49BCE8AC" w:rsidR="00AC42EC" w:rsidRPr="008A7297" w:rsidRDefault="003E62AC" w:rsidP="008A7297">
      <w:pPr>
        <w:spacing w:line="240" w:lineRule="auto"/>
        <w:jc w:val="both"/>
        <w:rPr>
          <w:color w:val="000000" w:themeColor="text1"/>
          <w:lang w:val="en-GB"/>
        </w:rPr>
      </w:pPr>
      <w:r w:rsidRPr="003E62AC">
        <w:rPr>
          <w:lang w:val="en-GB"/>
        </w:rPr>
        <w:t xml:space="preserve">For staff mobility and for student mobility where the additional </w:t>
      </w:r>
      <w:r w:rsidR="00AA1FFD">
        <w:rPr>
          <w:lang w:val="en-GB"/>
        </w:rPr>
        <w:t>financial support</w:t>
      </w:r>
      <w:r w:rsidRPr="003E62AC">
        <w:rPr>
          <w:lang w:val="en-GB"/>
        </w:rPr>
        <w:t xml:space="preserve"> awarded exceeds </w:t>
      </w:r>
      <w:r w:rsidR="0011153C">
        <w:rPr>
          <w:lang w:val="en-GB"/>
        </w:rPr>
        <w:t>€</w:t>
      </w:r>
      <w:r w:rsidRPr="003E62AC">
        <w:rPr>
          <w:lang w:val="en-GB"/>
        </w:rPr>
        <w:t xml:space="preserve">250 per month, the additional </w:t>
      </w:r>
      <w:r w:rsidR="00AA1FFD">
        <w:rPr>
          <w:lang w:val="en-GB"/>
        </w:rPr>
        <w:t>support</w:t>
      </w:r>
      <w:r w:rsidRPr="003E62AC">
        <w:rPr>
          <w:lang w:val="en-GB"/>
        </w:rPr>
        <w:t xml:space="preserve"> can only be used for the costs requested in the application and approved by the Board of Trustees of Tempus </w:t>
      </w:r>
      <w:r w:rsidRPr="00343A49">
        <w:rPr>
          <w:color w:val="000000" w:themeColor="text1"/>
          <w:lang w:val="en-GB"/>
        </w:rPr>
        <w:t xml:space="preserve">Public Foundation. Proof of use must be provided </w:t>
      </w:r>
      <w:r w:rsidR="00990C16" w:rsidRPr="00343A49">
        <w:rPr>
          <w:color w:val="000000" w:themeColor="text1"/>
          <w:lang w:val="en-GB"/>
        </w:rPr>
        <w:t>with an itemised list supported by</w:t>
      </w:r>
      <w:r w:rsidRPr="00343A49">
        <w:rPr>
          <w:color w:val="000000" w:themeColor="text1"/>
          <w:lang w:val="en-GB"/>
        </w:rPr>
        <w:t xml:space="preserve"> invoices </w:t>
      </w:r>
      <w:r w:rsidR="002F133C" w:rsidRPr="00343A49">
        <w:rPr>
          <w:color w:val="000000" w:themeColor="text1"/>
          <w:lang w:val="en-GB"/>
        </w:rPr>
        <w:t>by the participant</w:t>
      </w:r>
      <w:r w:rsidRPr="00343A49">
        <w:rPr>
          <w:color w:val="000000" w:themeColor="text1"/>
          <w:lang w:val="en-GB"/>
        </w:rPr>
        <w:t xml:space="preserve"> at the end of the mobility.</w:t>
      </w:r>
      <w:r w:rsidR="009327F7" w:rsidRPr="00343A49">
        <w:rPr>
          <w:color w:val="000000" w:themeColor="text1"/>
          <w:lang w:val="en-GB"/>
        </w:rPr>
        <w:t xml:space="preserve"> Itemised invoices must be submitted by the </w:t>
      </w:r>
      <w:r w:rsidR="00133A0A" w:rsidRPr="00343A49">
        <w:rPr>
          <w:color w:val="000000" w:themeColor="text1"/>
          <w:lang w:val="en-GB"/>
        </w:rPr>
        <w:t xml:space="preserve">participant </w:t>
      </w:r>
      <w:r w:rsidR="009327F7" w:rsidRPr="00343A49">
        <w:rPr>
          <w:color w:val="000000" w:themeColor="text1"/>
          <w:lang w:val="en-GB"/>
        </w:rPr>
        <w:t>at the end of the mobility.</w:t>
      </w:r>
      <w:bookmarkStart w:id="0" w:name="_GoBack"/>
      <w:bookmarkEnd w:id="0"/>
    </w:p>
    <w:sectPr w:rsidR="00AC42EC" w:rsidRPr="008A7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5CC9"/>
    <w:multiLevelType w:val="hybridMultilevel"/>
    <w:tmpl w:val="B25E4E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D41DB"/>
    <w:multiLevelType w:val="hybridMultilevel"/>
    <w:tmpl w:val="F304901E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3650"/>
    <w:multiLevelType w:val="hybridMultilevel"/>
    <w:tmpl w:val="A94E8B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44BC12E6"/>
    <w:multiLevelType w:val="hybridMultilevel"/>
    <w:tmpl w:val="68BA223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21672"/>
    <w:multiLevelType w:val="hybridMultilevel"/>
    <w:tmpl w:val="AF5E2382"/>
    <w:lvl w:ilvl="0" w:tplc="5E4872BA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46366"/>
    <w:multiLevelType w:val="hybridMultilevel"/>
    <w:tmpl w:val="DE9CA22C"/>
    <w:lvl w:ilvl="0" w:tplc="012421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95B06"/>
    <w:multiLevelType w:val="hybridMultilevel"/>
    <w:tmpl w:val="9588132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0C73AB"/>
    <w:multiLevelType w:val="hybridMultilevel"/>
    <w:tmpl w:val="4F5E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10BCC"/>
    <w:multiLevelType w:val="hybridMultilevel"/>
    <w:tmpl w:val="3DEE2896"/>
    <w:lvl w:ilvl="0" w:tplc="5C326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B55D1"/>
    <w:multiLevelType w:val="hybridMultilevel"/>
    <w:tmpl w:val="8CC83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3143D4"/>
    <w:multiLevelType w:val="hybridMultilevel"/>
    <w:tmpl w:val="2CD43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34"/>
  </w:num>
  <w:num w:numId="8">
    <w:abstractNumId w:val="30"/>
  </w:num>
  <w:num w:numId="9">
    <w:abstractNumId w:val="0"/>
  </w:num>
  <w:num w:numId="10">
    <w:abstractNumId w:val="28"/>
  </w:num>
  <w:num w:numId="11">
    <w:abstractNumId w:val="26"/>
  </w:num>
  <w:num w:numId="12">
    <w:abstractNumId w:val="18"/>
  </w:num>
  <w:num w:numId="13">
    <w:abstractNumId w:val="5"/>
  </w:num>
  <w:num w:numId="14">
    <w:abstractNumId w:val="32"/>
  </w:num>
  <w:num w:numId="15">
    <w:abstractNumId w:val="17"/>
  </w:num>
  <w:num w:numId="16">
    <w:abstractNumId w:val="9"/>
  </w:num>
  <w:num w:numId="17">
    <w:abstractNumId w:val="31"/>
  </w:num>
  <w:num w:numId="18">
    <w:abstractNumId w:val="25"/>
  </w:num>
  <w:num w:numId="19">
    <w:abstractNumId w:val="21"/>
  </w:num>
  <w:num w:numId="20">
    <w:abstractNumId w:val="11"/>
  </w:num>
  <w:num w:numId="21">
    <w:abstractNumId w:val="23"/>
  </w:num>
  <w:num w:numId="22">
    <w:abstractNumId w:val="7"/>
  </w:num>
  <w:num w:numId="23">
    <w:abstractNumId w:val="27"/>
  </w:num>
  <w:num w:numId="24">
    <w:abstractNumId w:val="33"/>
  </w:num>
  <w:num w:numId="25">
    <w:abstractNumId w:val="1"/>
  </w:num>
  <w:num w:numId="26">
    <w:abstractNumId w:val="19"/>
  </w:num>
  <w:num w:numId="27">
    <w:abstractNumId w:val="30"/>
  </w:num>
  <w:num w:numId="28">
    <w:abstractNumId w:val="20"/>
  </w:num>
  <w:num w:numId="29">
    <w:abstractNumId w:val="10"/>
  </w:num>
  <w:num w:numId="30">
    <w:abstractNumId w:val="22"/>
  </w:num>
  <w:num w:numId="31">
    <w:abstractNumId w:val="14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9"/>
  </w:num>
  <w:num w:numId="35">
    <w:abstractNumId w:val="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30AEA"/>
    <w:rsid w:val="0004142C"/>
    <w:rsid w:val="0005230F"/>
    <w:rsid w:val="000566C5"/>
    <w:rsid w:val="00057D84"/>
    <w:rsid w:val="00062545"/>
    <w:rsid w:val="00072C14"/>
    <w:rsid w:val="000848B2"/>
    <w:rsid w:val="00084F1A"/>
    <w:rsid w:val="00093264"/>
    <w:rsid w:val="00093515"/>
    <w:rsid w:val="000A05E6"/>
    <w:rsid w:val="000A1FF4"/>
    <w:rsid w:val="000B0D25"/>
    <w:rsid w:val="000B2933"/>
    <w:rsid w:val="000D316E"/>
    <w:rsid w:val="000D41DD"/>
    <w:rsid w:val="000D4A4C"/>
    <w:rsid w:val="000E0FFA"/>
    <w:rsid w:val="000E1E62"/>
    <w:rsid w:val="000E5649"/>
    <w:rsid w:val="000F3972"/>
    <w:rsid w:val="000F6F8C"/>
    <w:rsid w:val="00105C1B"/>
    <w:rsid w:val="0011153C"/>
    <w:rsid w:val="00114239"/>
    <w:rsid w:val="001224CF"/>
    <w:rsid w:val="00126874"/>
    <w:rsid w:val="00133A0A"/>
    <w:rsid w:val="00145938"/>
    <w:rsid w:val="00172584"/>
    <w:rsid w:val="001737D6"/>
    <w:rsid w:val="00176DC5"/>
    <w:rsid w:val="00177730"/>
    <w:rsid w:val="00184294"/>
    <w:rsid w:val="00190F17"/>
    <w:rsid w:val="0019125F"/>
    <w:rsid w:val="00192ACA"/>
    <w:rsid w:val="001A0BDC"/>
    <w:rsid w:val="001B5D73"/>
    <w:rsid w:val="001B6AC6"/>
    <w:rsid w:val="001C251C"/>
    <w:rsid w:val="001C71F9"/>
    <w:rsid w:val="001D6734"/>
    <w:rsid w:val="001D6DDD"/>
    <w:rsid w:val="001F4C09"/>
    <w:rsid w:val="00200373"/>
    <w:rsid w:val="00205107"/>
    <w:rsid w:val="00211962"/>
    <w:rsid w:val="0021597E"/>
    <w:rsid w:val="00224424"/>
    <w:rsid w:val="00225C13"/>
    <w:rsid w:val="00232B4E"/>
    <w:rsid w:val="00233312"/>
    <w:rsid w:val="00233986"/>
    <w:rsid w:val="00235B45"/>
    <w:rsid w:val="00241EF7"/>
    <w:rsid w:val="00245E45"/>
    <w:rsid w:val="00254CFC"/>
    <w:rsid w:val="0025606D"/>
    <w:rsid w:val="00256A78"/>
    <w:rsid w:val="00266B7B"/>
    <w:rsid w:val="0027279F"/>
    <w:rsid w:val="002768B3"/>
    <w:rsid w:val="00280972"/>
    <w:rsid w:val="00281583"/>
    <w:rsid w:val="00287290"/>
    <w:rsid w:val="00292E54"/>
    <w:rsid w:val="00293D23"/>
    <w:rsid w:val="002A2FC4"/>
    <w:rsid w:val="002A6148"/>
    <w:rsid w:val="002B5CA2"/>
    <w:rsid w:val="002C1D8D"/>
    <w:rsid w:val="002C3831"/>
    <w:rsid w:val="002C73BD"/>
    <w:rsid w:val="002E430D"/>
    <w:rsid w:val="002F133C"/>
    <w:rsid w:val="002F1FAD"/>
    <w:rsid w:val="002F414D"/>
    <w:rsid w:val="0030684F"/>
    <w:rsid w:val="003136E9"/>
    <w:rsid w:val="00316EA4"/>
    <w:rsid w:val="00330111"/>
    <w:rsid w:val="00343A49"/>
    <w:rsid w:val="00353124"/>
    <w:rsid w:val="003604BC"/>
    <w:rsid w:val="00361726"/>
    <w:rsid w:val="0036524F"/>
    <w:rsid w:val="00366F24"/>
    <w:rsid w:val="00380F56"/>
    <w:rsid w:val="00383783"/>
    <w:rsid w:val="00396876"/>
    <w:rsid w:val="0039723E"/>
    <w:rsid w:val="003A5B23"/>
    <w:rsid w:val="003B05BB"/>
    <w:rsid w:val="003B2AE7"/>
    <w:rsid w:val="003B5970"/>
    <w:rsid w:val="003D594B"/>
    <w:rsid w:val="003E0BCC"/>
    <w:rsid w:val="003E1E88"/>
    <w:rsid w:val="003E62AC"/>
    <w:rsid w:val="003F5398"/>
    <w:rsid w:val="003F5ADF"/>
    <w:rsid w:val="003F7DE3"/>
    <w:rsid w:val="00402498"/>
    <w:rsid w:val="00404A04"/>
    <w:rsid w:val="004050B3"/>
    <w:rsid w:val="00406D0E"/>
    <w:rsid w:val="00420DA3"/>
    <w:rsid w:val="00426CA1"/>
    <w:rsid w:val="00435693"/>
    <w:rsid w:val="004460D6"/>
    <w:rsid w:val="00452F3F"/>
    <w:rsid w:val="00456C9E"/>
    <w:rsid w:val="00456CDD"/>
    <w:rsid w:val="004614F6"/>
    <w:rsid w:val="0046530E"/>
    <w:rsid w:val="00466960"/>
    <w:rsid w:val="004723BD"/>
    <w:rsid w:val="0048075F"/>
    <w:rsid w:val="004810A1"/>
    <w:rsid w:val="00483632"/>
    <w:rsid w:val="00493F89"/>
    <w:rsid w:val="004956B5"/>
    <w:rsid w:val="004B5343"/>
    <w:rsid w:val="004B5E49"/>
    <w:rsid w:val="004B6D69"/>
    <w:rsid w:val="004B6FFC"/>
    <w:rsid w:val="004C1997"/>
    <w:rsid w:val="004C5DE2"/>
    <w:rsid w:val="004D4D59"/>
    <w:rsid w:val="004E721B"/>
    <w:rsid w:val="004E7C88"/>
    <w:rsid w:val="004E7E8C"/>
    <w:rsid w:val="004F1CF6"/>
    <w:rsid w:val="00510CFD"/>
    <w:rsid w:val="00511B09"/>
    <w:rsid w:val="0051547A"/>
    <w:rsid w:val="00515A17"/>
    <w:rsid w:val="0052064A"/>
    <w:rsid w:val="005370CE"/>
    <w:rsid w:val="0054494E"/>
    <w:rsid w:val="0054609A"/>
    <w:rsid w:val="005536FE"/>
    <w:rsid w:val="00556C2C"/>
    <w:rsid w:val="00561FA6"/>
    <w:rsid w:val="00562A70"/>
    <w:rsid w:val="005660AD"/>
    <w:rsid w:val="00581C8A"/>
    <w:rsid w:val="0058408E"/>
    <w:rsid w:val="0059185E"/>
    <w:rsid w:val="00593411"/>
    <w:rsid w:val="00595D84"/>
    <w:rsid w:val="005B276F"/>
    <w:rsid w:val="005C159B"/>
    <w:rsid w:val="005D1A89"/>
    <w:rsid w:val="005D27B2"/>
    <w:rsid w:val="005D4A68"/>
    <w:rsid w:val="005D6835"/>
    <w:rsid w:val="005D6D3A"/>
    <w:rsid w:val="005E0413"/>
    <w:rsid w:val="005E3B7D"/>
    <w:rsid w:val="005E58CD"/>
    <w:rsid w:val="005F7A3B"/>
    <w:rsid w:val="006010D3"/>
    <w:rsid w:val="00602CDD"/>
    <w:rsid w:val="00611AEA"/>
    <w:rsid w:val="006137F9"/>
    <w:rsid w:val="00622334"/>
    <w:rsid w:val="00630476"/>
    <w:rsid w:val="00630E78"/>
    <w:rsid w:val="00633451"/>
    <w:rsid w:val="006354EA"/>
    <w:rsid w:val="00635DA8"/>
    <w:rsid w:val="00650F63"/>
    <w:rsid w:val="00652258"/>
    <w:rsid w:val="00652FC3"/>
    <w:rsid w:val="00653574"/>
    <w:rsid w:val="0066620B"/>
    <w:rsid w:val="00693FB2"/>
    <w:rsid w:val="006B205C"/>
    <w:rsid w:val="006B4C38"/>
    <w:rsid w:val="006B7679"/>
    <w:rsid w:val="006D12A6"/>
    <w:rsid w:val="006D4757"/>
    <w:rsid w:val="006D4FFB"/>
    <w:rsid w:val="006D5ED7"/>
    <w:rsid w:val="006E10E9"/>
    <w:rsid w:val="006E44F3"/>
    <w:rsid w:val="006E7AC3"/>
    <w:rsid w:val="006F0480"/>
    <w:rsid w:val="006F4DF5"/>
    <w:rsid w:val="006F5655"/>
    <w:rsid w:val="00702AF6"/>
    <w:rsid w:val="00706257"/>
    <w:rsid w:val="00707493"/>
    <w:rsid w:val="00716F6C"/>
    <w:rsid w:val="007265DF"/>
    <w:rsid w:val="00730E13"/>
    <w:rsid w:val="00745535"/>
    <w:rsid w:val="007465F5"/>
    <w:rsid w:val="0075755D"/>
    <w:rsid w:val="0076145A"/>
    <w:rsid w:val="00771D24"/>
    <w:rsid w:val="00773DAE"/>
    <w:rsid w:val="00775024"/>
    <w:rsid w:val="00775449"/>
    <w:rsid w:val="00776399"/>
    <w:rsid w:val="007832AB"/>
    <w:rsid w:val="00784689"/>
    <w:rsid w:val="00790C52"/>
    <w:rsid w:val="00792D91"/>
    <w:rsid w:val="00796ED7"/>
    <w:rsid w:val="007A6A72"/>
    <w:rsid w:val="007B0A67"/>
    <w:rsid w:val="007B3FE1"/>
    <w:rsid w:val="007B62AF"/>
    <w:rsid w:val="007B7304"/>
    <w:rsid w:val="007C1E35"/>
    <w:rsid w:val="007D305E"/>
    <w:rsid w:val="007D34CB"/>
    <w:rsid w:val="007D45B4"/>
    <w:rsid w:val="007E0E32"/>
    <w:rsid w:val="007E2E47"/>
    <w:rsid w:val="007E6BEE"/>
    <w:rsid w:val="007F7CB3"/>
    <w:rsid w:val="00802FD3"/>
    <w:rsid w:val="0081162B"/>
    <w:rsid w:val="00822B8A"/>
    <w:rsid w:val="00823931"/>
    <w:rsid w:val="00823FA8"/>
    <w:rsid w:val="00824065"/>
    <w:rsid w:val="00831FA8"/>
    <w:rsid w:val="00834FC0"/>
    <w:rsid w:val="008403C4"/>
    <w:rsid w:val="0084086C"/>
    <w:rsid w:val="00842823"/>
    <w:rsid w:val="008473BD"/>
    <w:rsid w:val="0085428E"/>
    <w:rsid w:val="00866E5F"/>
    <w:rsid w:val="00873D05"/>
    <w:rsid w:val="00886970"/>
    <w:rsid w:val="008A3BE5"/>
    <w:rsid w:val="008A483E"/>
    <w:rsid w:val="008A4C53"/>
    <w:rsid w:val="008A515D"/>
    <w:rsid w:val="008A7297"/>
    <w:rsid w:val="008B3E36"/>
    <w:rsid w:val="008C2777"/>
    <w:rsid w:val="008C4572"/>
    <w:rsid w:val="008E237F"/>
    <w:rsid w:val="008E2608"/>
    <w:rsid w:val="008F3D61"/>
    <w:rsid w:val="008F59D0"/>
    <w:rsid w:val="009022C6"/>
    <w:rsid w:val="00912BBE"/>
    <w:rsid w:val="00916353"/>
    <w:rsid w:val="00917027"/>
    <w:rsid w:val="00926C4C"/>
    <w:rsid w:val="00927271"/>
    <w:rsid w:val="00930F8C"/>
    <w:rsid w:val="009311B7"/>
    <w:rsid w:val="009327F7"/>
    <w:rsid w:val="00944715"/>
    <w:rsid w:val="00946070"/>
    <w:rsid w:val="00950BAC"/>
    <w:rsid w:val="009668A2"/>
    <w:rsid w:val="00971750"/>
    <w:rsid w:val="00974969"/>
    <w:rsid w:val="00981CAE"/>
    <w:rsid w:val="00982D54"/>
    <w:rsid w:val="00990C16"/>
    <w:rsid w:val="009B5994"/>
    <w:rsid w:val="009C5552"/>
    <w:rsid w:val="009C641C"/>
    <w:rsid w:val="009D40DD"/>
    <w:rsid w:val="009E0455"/>
    <w:rsid w:val="009E455A"/>
    <w:rsid w:val="009E700E"/>
    <w:rsid w:val="009F63B7"/>
    <w:rsid w:val="009F6CA6"/>
    <w:rsid w:val="00A15AAA"/>
    <w:rsid w:val="00A21855"/>
    <w:rsid w:val="00A225DA"/>
    <w:rsid w:val="00A30D22"/>
    <w:rsid w:val="00A339A9"/>
    <w:rsid w:val="00A3479D"/>
    <w:rsid w:val="00A36A6C"/>
    <w:rsid w:val="00A5197B"/>
    <w:rsid w:val="00A5307E"/>
    <w:rsid w:val="00A5586E"/>
    <w:rsid w:val="00A672E3"/>
    <w:rsid w:val="00A701FF"/>
    <w:rsid w:val="00A73918"/>
    <w:rsid w:val="00A7630D"/>
    <w:rsid w:val="00A77C17"/>
    <w:rsid w:val="00A86163"/>
    <w:rsid w:val="00AA15F8"/>
    <w:rsid w:val="00AA1FFD"/>
    <w:rsid w:val="00AA7DBF"/>
    <w:rsid w:val="00AB00E2"/>
    <w:rsid w:val="00AB614A"/>
    <w:rsid w:val="00AC42EC"/>
    <w:rsid w:val="00AC7164"/>
    <w:rsid w:val="00AD3128"/>
    <w:rsid w:val="00AD33EE"/>
    <w:rsid w:val="00AD6B6E"/>
    <w:rsid w:val="00AE4905"/>
    <w:rsid w:val="00AE515A"/>
    <w:rsid w:val="00AE7EB6"/>
    <w:rsid w:val="00AF0A21"/>
    <w:rsid w:val="00B1199C"/>
    <w:rsid w:val="00B11BA0"/>
    <w:rsid w:val="00B225F6"/>
    <w:rsid w:val="00B259D0"/>
    <w:rsid w:val="00B25C93"/>
    <w:rsid w:val="00B33B6D"/>
    <w:rsid w:val="00B3789D"/>
    <w:rsid w:val="00B37C1C"/>
    <w:rsid w:val="00B467B6"/>
    <w:rsid w:val="00B52F9A"/>
    <w:rsid w:val="00B703EA"/>
    <w:rsid w:val="00B713C0"/>
    <w:rsid w:val="00B7424E"/>
    <w:rsid w:val="00B754B6"/>
    <w:rsid w:val="00B758D7"/>
    <w:rsid w:val="00B75D14"/>
    <w:rsid w:val="00B92499"/>
    <w:rsid w:val="00BA140F"/>
    <w:rsid w:val="00BC5272"/>
    <w:rsid w:val="00BC670F"/>
    <w:rsid w:val="00BD23CB"/>
    <w:rsid w:val="00BD2E6A"/>
    <w:rsid w:val="00BF367A"/>
    <w:rsid w:val="00BF58AC"/>
    <w:rsid w:val="00BF793E"/>
    <w:rsid w:val="00C0308C"/>
    <w:rsid w:val="00C03FA8"/>
    <w:rsid w:val="00C05A3A"/>
    <w:rsid w:val="00C10CAE"/>
    <w:rsid w:val="00C23DB0"/>
    <w:rsid w:val="00C2666A"/>
    <w:rsid w:val="00C36B2B"/>
    <w:rsid w:val="00C471E7"/>
    <w:rsid w:val="00C55769"/>
    <w:rsid w:val="00C6481B"/>
    <w:rsid w:val="00C6636D"/>
    <w:rsid w:val="00C6768E"/>
    <w:rsid w:val="00C7006F"/>
    <w:rsid w:val="00C72DFC"/>
    <w:rsid w:val="00C75297"/>
    <w:rsid w:val="00C82D00"/>
    <w:rsid w:val="00C864B2"/>
    <w:rsid w:val="00C931AD"/>
    <w:rsid w:val="00CA0828"/>
    <w:rsid w:val="00CB0E7A"/>
    <w:rsid w:val="00CD1096"/>
    <w:rsid w:val="00CE09DA"/>
    <w:rsid w:val="00CE0B47"/>
    <w:rsid w:val="00CE1583"/>
    <w:rsid w:val="00CE28F8"/>
    <w:rsid w:val="00CE42AD"/>
    <w:rsid w:val="00CF0948"/>
    <w:rsid w:val="00CF0F35"/>
    <w:rsid w:val="00CF7D33"/>
    <w:rsid w:val="00D10B38"/>
    <w:rsid w:val="00D1320A"/>
    <w:rsid w:val="00D159B7"/>
    <w:rsid w:val="00D222F8"/>
    <w:rsid w:val="00D242AC"/>
    <w:rsid w:val="00D44237"/>
    <w:rsid w:val="00D53E15"/>
    <w:rsid w:val="00D544A1"/>
    <w:rsid w:val="00D574AC"/>
    <w:rsid w:val="00D605DD"/>
    <w:rsid w:val="00D74393"/>
    <w:rsid w:val="00D8358E"/>
    <w:rsid w:val="00D861E0"/>
    <w:rsid w:val="00D87A5C"/>
    <w:rsid w:val="00D95330"/>
    <w:rsid w:val="00DB61F3"/>
    <w:rsid w:val="00DC36CF"/>
    <w:rsid w:val="00DD51F8"/>
    <w:rsid w:val="00DE6C1F"/>
    <w:rsid w:val="00DF177C"/>
    <w:rsid w:val="00DF2BF7"/>
    <w:rsid w:val="00DF6080"/>
    <w:rsid w:val="00DF6341"/>
    <w:rsid w:val="00E021DC"/>
    <w:rsid w:val="00E02A3F"/>
    <w:rsid w:val="00E22178"/>
    <w:rsid w:val="00E256BF"/>
    <w:rsid w:val="00E274E6"/>
    <w:rsid w:val="00E30495"/>
    <w:rsid w:val="00E32A68"/>
    <w:rsid w:val="00E42544"/>
    <w:rsid w:val="00E630A5"/>
    <w:rsid w:val="00E63D67"/>
    <w:rsid w:val="00E65FCA"/>
    <w:rsid w:val="00E72DC2"/>
    <w:rsid w:val="00E730A3"/>
    <w:rsid w:val="00E84965"/>
    <w:rsid w:val="00E9247A"/>
    <w:rsid w:val="00EA38A7"/>
    <w:rsid w:val="00EA4906"/>
    <w:rsid w:val="00EA57EB"/>
    <w:rsid w:val="00EB35D5"/>
    <w:rsid w:val="00EB4103"/>
    <w:rsid w:val="00EB694B"/>
    <w:rsid w:val="00EC36EE"/>
    <w:rsid w:val="00EC37F6"/>
    <w:rsid w:val="00EC4408"/>
    <w:rsid w:val="00EC5FBE"/>
    <w:rsid w:val="00ED2C6B"/>
    <w:rsid w:val="00EE3B1E"/>
    <w:rsid w:val="00EE789D"/>
    <w:rsid w:val="00EF3E79"/>
    <w:rsid w:val="00EF4125"/>
    <w:rsid w:val="00EF6315"/>
    <w:rsid w:val="00F01523"/>
    <w:rsid w:val="00F0244D"/>
    <w:rsid w:val="00F1270A"/>
    <w:rsid w:val="00F13435"/>
    <w:rsid w:val="00F14AFC"/>
    <w:rsid w:val="00F30849"/>
    <w:rsid w:val="00F32E9A"/>
    <w:rsid w:val="00F34F3B"/>
    <w:rsid w:val="00F53747"/>
    <w:rsid w:val="00F5668B"/>
    <w:rsid w:val="00F610B3"/>
    <w:rsid w:val="00F67431"/>
    <w:rsid w:val="00F70A3C"/>
    <w:rsid w:val="00F83B20"/>
    <w:rsid w:val="00F86404"/>
    <w:rsid w:val="00F9700B"/>
    <w:rsid w:val="00FA0417"/>
    <w:rsid w:val="00FA77C7"/>
    <w:rsid w:val="00FB1A7E"/>
    <w:rsid w:val="00FB5B7B"/>
    <w:rsid w:val="00FB7A41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E80B6955-39EE-314B-98B0-CA18AE5C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6D12A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12A6"/>
    <w:rPr>
      <w:color w:val="800080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B0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E207-C5D7-43A1-976B-B7BA8A1D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1265</Words>
  <Characters>8736</Characters>
  <Application>Microsoft Office Word</Application>
  <DocSecurity>0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Oktig User</cp:lastModifiedBy>
  <cp:revision>4</cp:revision>
  <cp:lastPrinted>2022-02-22T09:45:00Z</cp:lastPrinted>
  <dcterms:created xsi:type="dcterms:W3CDTF">2024-03-19T13:18:00Z</dcterms:created>
  <dcterms:modified xsi:type="dcterms:W3CDTF">2025-04-10T13:36:00Z</dcterms:modified>
</cp:coreProperties>
</file>