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340F" w14:textId="15584F6A" w:rsidR="00767AB9" w:rsidRPr="0007456B" w:rsidRDefault="00E61C26" w:rsidP="00442472">
      <w:pPr>
        <w:spacing w:after="0" w:line="240" w:lineRule="auto"/>
        <w:jc w:val="center"/>
        <w:rPr>
          <w:rFonts w:ascii="Times New Roman" w:hAnsi="Times New Roman" w:cs="Times New Roman"/>
          <w:b/>
          <w:sz w:val="20"/>
          <w:szCs w:val="20"/>
          <w:lang w:val="en-GB"/>
        </w:rPr>
      </w:pPr>
      <w:r w:rsidRPr="0007456B">
        <w:rPr>
          <w:rFonts w:ascii="Times New Roman" w:hAnsi="Times New Roman" w:cs="Times New Roman"/>
          <w:b/>
          <w:sz w:val="20"/>
          <w:szCs w:val="20"/>
          <w:lang w:val="en-GB"/>
        </w:rPr>
        <w:t>Privacy notice</w:t>
      </w:r>
    </w:p>
    <w:p w14:paraId="00B4EFC8" w14:textId="0AA6F436" w:rsidR="00B938EE" w:rsidRDefault="00D211AD" w:rsidP="00361BB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bookmarkStart w:id="0" w:name="_Hlk147406167"/>
      <w:r w:rsidRPr="0007456B">
        <w:rPr>
          <w:rFonts w:ascii="Times New Roman" w:eastAsia="Times New Roman" w:hAnsi="Times New Roman" w:cs="Times New Roman"/>
          <w:b/>
          <w:sz w:val="20"/>
          <w:szCs w:val="20"/>
          <w:lang w:val="en-GB" w:eastAsia="hu-HU"/>
        </w:rPr>
        <w:t xml:space="preserve">for processing of data relating to a thesis/portfolio for a data subject </w:t>
      </w:r>
      <w:r w:rsidR="00B938EE">
        <w:rPr>
          <w:rFonts w:ascii="Times New Roman" w:eastAsia="Times New Roman" w:hAnsi="Times New Roman" w:cs="Times New Roman"/>
          <w:b/>
          <w:sz w:val="20"/>
          <w:szCs w:val="20"/>
          <w:lang w:val="en-GB" w:eastAsia="hu-HU"/>
        </w:rPr>
        <w:t>under</w:t>
      </w:r>
      <w:r w:rsidR="00B938EE" w:rsidRPr="0007456B">
        <w:rPr>
          <w:rFonts w:ascii="Times New Roman" w:eastAsia="Times New Roman" w:hAnsi="Times New Roman" w:cs="Times New Roman"/>
          <w:b/>
          <w:sz w:val="20"/>
          <w:szCs w:val="20"/>
          <w:lang w:val="en-GB" w:eastAsia="hu-HU"/>
        </w:rPr>
        <w:t xml:space="preserve"> 18 </w:t>
      </w:r>
      <w:r w:rsidR="00B938EE">
        <w:rPr>
          <w:rFonts w:ascii="Times New Roman" w:eastAsia="Times New Roman" w:hAnsi="Times New Roman" w:cs="Times New Roman"/>
          <w:b/>
          <w:sz w:val="20"/>
          <w:szCs w:val="20"/>
          <w:lang w:val="en-GB" w:eastAsia="hu-HU"/>
        </w:rPr>
        <w:t>years</w:t>
      </w:r>
    </w:p>
    <w:p w14:paraId="19653BFF" w14:textId="3A91A6B3" w:rsidR="00361BB5" w:rsidRPr="0007456B" w:rsidRDefault="00361BB5" w:rsidP="00361BB5">
      <w:pPr>
        <w:overflowPunct w:val="0"/>
        <w:autoSpaceDE w:val="0"/>
        <w:autoSpaceDN w:val="0"/>
        <w:adjustRightInd w:val="0"/>
        <w:spacing w:after="0" w:line="240" w:lineRule="auto"/>
        <w:jc w:val="center"/>
        <w:textAlignment w:val="baseline"/>
        <w:rPr>
          <w:rFonts w:ascii="Times New Roman" w:hAnsi="Times New Roman" w:cs="Times New Roman"/>
          <w:b/>
          <w:bCs/>
          <w:color w:val="000000"/>
          <w:sz w:val="20"/>
          <w:szCs w:val="20"/>
          <w:lang w:val="en-GB"/>
        </w:rPr>
      </w:pPr>
      <w:r w:rsidRPr="0007456B">
        <w:rPr>
          <w:rFonts w:ascii="Times New Roman" w:eastAsia="Times New Roman" w:hAnsi="Times New Roman" w:cs="Times New Roman"/>
          <w:sz w:val="20"/>
          <w:szCs w:val="20"/>
          <w:lang w:val="en-GB" w:eastAsia="hu-HU"/>
        </w:rPr>
        <w:t>i</w:t>
      </w:r>
      <w:r w:rsidRPr="0007456B">
        <w:rPr>
          <w:rFonts w:ascii="Times New Roman" w:hAnsi="Times New Roman" w:cs="Times New Roman"/>
          <w:bCs/>
          <w:sz w:val="20"/>
          <w:szCs w:val="20"/>
          <w:lang w:val="en-GB"/>
        </w:rPr>
        <w:t xml:space="preserve">n accordance with Article 12 (1) of </w:t>
      </w:r>
      <w:r w:rsidR="009547B5" w:rsidRPr="0007456B">
        <w:rPr>
          <w:rFonts w:ascii="Times New Roman" w:hAnsi="Times New Roman" w:cs="Times New Roman"/>
          <w:bCs/>
          <w:color w:val="000000"/>
          <w:sz w:val="20"/>
          <w:szCs w:val="20"/>
          <w:lang w:val="en-GB"/>
        </w:rPr>
        <w:t xml:space="preserve">Regulation (Eu) 2016/679 </w:t>
      </w:r>
      <w:r w:rsidR="009547B5">
        <w:rPr>
          <w:rFonts w:ascii="Times New Roman" w:hAnsi="Times New Roman" w:cs="Times New Roman"/>
          <w:bCs/>
          <w:color w:val="000000"/>
          <w:sz w:val="20"/>
          <w:szCs w:val="20"/>
          <w:lang w:val="en-GB"/>
        </w:rPr>
        <w:t>o</w:t>
      </w:r>
      <w:r w:rsidR="009547B5" w:rsidRPr="0007456B">
        <w:rPr>
          <w:rFonts w:ascii="Times New Roman" w:hAnsi="Times New Roman" w:cs="Times New Roman"/>
          <w:bCs/>
          <w:color w:val="000000"/>
          <w:sz w:val="20"/>
          <w:szCs w:val="20"/>
          <w:lang w:val="en-GB"/>
        </w:rPr>
        <w:t xml:space="preserve">f </w:t>
      </w:r>
      <w:r w:rsidR="009547B5">
        <w:rPr>
          <w:rFonts w:ascii="Times New Roman" w:hAnsi="Times New Roman" w:cs="Times New Roman"/>
          <w:bCs/>
          <w:color w:val="000000"/>
          <w:sz w:val="20"/>
          <w:szCs w:val="20"/>
          <w:lang w:val="en-GB"/>
        </w:rPr>
        <w:t>t</w:t>
      </w:r>
      <w:r w:rsidR="009547B5" w:rsidRPr="0007456B">
        <w:rPr>
          <w:rFonts w:ascii="Times New Roman" w:hAnsi="Times New Roman" w:cs="Times New Roman"/>
          <w:bCs/>
          <w:color w:val="000000"/>
          <w:sz w:val="20"/>
          <w:szCs w:val="20"/>
          <w:lang w:val="en-GB"/>
        </w:rPr>
        <w:t xml:space="preserve">he European Parliament </w:t>
      </w:r>
      <w:r w:rsidR="009547B5">
        <w:rPr>
          <w:rFonts w:ascii="Times New Roman" w:hAnsi="Times New Roman" w:cs="Times New Roman"/>
          <w:bCs/>
          <w:color w:val="000000"/>
          <w:sz w:val="20"/>
          <w:szCs w:val="20"/>
          <w:lang w:val="en-GB"/>
        </w:rPr>
        <w:t>a</w:t>
      </w:r>
      <w:r w:rsidR="009547B5" w:rsidRPr="0007456B">
        <w:rPr>
          <w:rFonts w:ascii="Times New Roman" w:hAnsi="Times New Roman" w:cs="Times New Roman"/>
          <w:bCs/>
          <w:color w:val="000000"/>
          <w:sz w:val="20"/>
          <w:szCs w:val="20"/>
          <w:lang w:val="en-GB"/>
        </w:rPr>
        <w:t xml:space="preserve">nd </w:t>
      </w:r>
      <w:r w:rsidR="009547B5">
        <w:rPr>
          <w:rFonts w:ascii="Times New Roman" w:hAnsi="Times New Roman" w:cs="Times New Roman"/>
          <w:bCs/>
          <w:color w:val="000000"/>
          <w:sz w:val="20"/>
          <w:szCs w:val="20"/>
          <w:lang w:val="en-GB"/>
        </w:rPr>
        <w:t>o</w:t>
      </w:r>
      <w:r w:rsidR="009547B5" w:rsidRPr="0007456B">
        <w:rPr>
          <w:rFonts w:ascii="Times New Roman" w:hAnsi="Times New Roman" w:cs="Times New Roman"/>
          <w:bCs/>
          <w:color w:val="000000"/>
          <w:sz w:val="20"/>
          <w:szCs w:val="20"/>
          <w:lang w:val="en-GB"/>
        </w:rPr>
        <w:t xml:space="preserve">f </w:t>
      </w:r>
      <w:r w:rsidR="009547B5">
        <w:rPr>
          <w:rFonts w:ascii="Times New Roman" w:hAnsi="Times New Roman" w:cs="Times New Roman"/>
          <w:bCs/>
          <w:color w:val="000000"/>
          <w:sz w:val="20"/>
          <w:szCs w:val="20"/>
          <w:lang w:val="en-GB"/>
        </w:rPr>
        <w:t>t</w:t>
      </w:r>
      <w:r w:rsidR="009547B5" w:rsidRPr="0007456B">
        <w:rPr>
          <w:rFonts w:ascii="Times New Roman" w:hAnsi="Times New Roman" w:cs="Times New Roman"/>
          <w:bCs/>
          <w:color w:val="000000"/>
          <w:sz w:val="20"/>
          <w:szCs w:val="20"/>
          <w:lang w:val="en-GB"/>
        </w:rPr>
        <w:t xml:space="preserve">he Council </w:t>
      </w:r>
      <w:r w:rsidRPr="0007456B">
        <w:rPr>
          <w:rFonts w:ascii="Times New Roman" w:hAnsi="Times New Roman" w:cs="Times New Roman"/>
          <w:bCs/>
          <w:color w:val="000000"/>
          <w:sz w:val="20"/>
          <w:szCs w:val="20"/>
          <w:lang w:val="en-GB"/>
        </w:rPr>
        <w:t>(</w:t>
      </w:r>
      <w:r w:rsidRPr="0007456B">
        <w:rPr>
          <w:rFonts w:ascii="Times New Roman" w:hAnsi="Times New Roman" w:cs="Times New Roman"/>
          <w:bCs/>
          <w:sz w:val="20"/>
          <w:szCs w:val="20"/>
          <w:lang w:val="en-GB"/>
        </w:rPr>
        <w:t xml:space="preserve">henceforth: </w:t>
      </w:r>
      <w:r w:rsidRPr="0007456B">
        <w:rPr>
          <w:rFonts w:ascii="Times New Roman" w:hAnsi="Times New Roman" w:cs="Times New Roman"/>
          <w:bCs/>
          <w:color w:val="000000"/>
          <w:sz w:val="20"/>
          <w:szCs w:val="20"/>
          <w:lang w:val="en-GB"/>
        </w:rPr>
        <w:t>GDPR)</w:t>
      </w:r>
      <w:r w:rsidRPr="0007456B">
        <w:rPr>
          <w:rFonts w:ascii="Times New Roman" w:hAnsi="Times New Roman" w:cs="Times New Roman"/>
          <w:b/>
          <w:bCs/>
          <w:color w:val="000000"/>
          <w:sz w:val="20"/>
          <w:szCs w:val="20"/>
          <w:lang w:val="en-GB"/>
        </w:rPr>
        <w:t xml:space="preserve"> </w:t>
      </w:r>
    </w:p>
    <w:p w14:paraId="3E29130E" w14:textId="0150F21F" w:rsidR="00361BB5" w:rsidRPr="0007456B" w:rsidRDefault="00361BB5" w:rsidP="00361B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GB" w:eastAsia="hu-HU"/>
        </w:rPr>
      </w:pPr>
    </w:p>
    <w:bookmarkEnd w:id="0"/>
    <w:p w14:paraId="4C65463D" w14:textId="69DFE958" w:rsidR="00D211AD" w:rsidRPr="0007456B" w:rsidRDefault="00D211AD" w:rsidP="00D211AD">
      <w:pPr>
        <w:spacing w:after="0" w:line="240" w:lineRule="auto"/>
        <w:jc w:val="both"/>
        <w:rPr>
          <w:rFonts w:ascii="Times New Roman" w:hAnsi="Times New Roman" w:cs="Times New Roman"/>
          <w:b/>
          <w:sz w:val="20"/>
          <w:szCs w:val="20"/>
          <w:lang w:val="en-GB"/>
        </w:rPr>
      </w:pPr>
      <w:r w:rsidRPr="0007456B">
        <w:rPr>
          <w:rFonts w:ascii="Times New Roman" w:hAnsi="Times New Roman" w:cs="Times New Roman"/>
          <w:sz w:val="20"/>
          <w:szCs w:val="20"/>
          <w:lang w:val="en-GB"/>
        </w:rPr>
        <w:t xml:space="preserve">The student writing a thesis/portfolio (hereinafter referred to as thesis) at Eötvös Loránd University </w:t>
      </w:r>
      <w:r w:rsidRPr="0007456B">
        <w:rPr>
          <w:rFonts w:ascii="Times New Roman" w:eastAsia="Times New Roman" w:hAnsi="Times New Roman" w:cs="Times New Roman"/>
          <w:sz w:val="20"/>
          <w:szCs w:val="20"/>
          <w:lang w:val="en-GB" w:eastAsia="hu-HU"/>
        </w:rPr>
        <w:t>(1053 Budapest, Egyetem tér 1-3.), and the student named on a questionna</w:t>
      </w:r>
      <w:r w:rsidR="0007456B">
        <w:rPr>
          <w:rFonts w:ascii="Times New Roman" w:eastAsia="Times New Roman" w:hAnsi="Times New Roman" w:cs="Times New Roman"/>
          <w:sz w:val="20"/>
          <w:szCs w:val="20"/>
          <w:lang w:val="en-GB" w:eastAsia="hu-HU"/>
        </w:rPr>
        <w:t>i</w:t>
      </w:r>
      <w:r w:rsidRPr="0007456B">
        <w:rPr>
          <w:rFonts w:ascii="Times New Roman" w:eastAsia="Times New Roman" w:hAnsi="Times New Roman" w:cs="Times New Roman"/>
          <w:sz w:val="20"/>
          <w:szCs w:val="20"/>
          <w:lang w:val="en-GB" w:eastAsia="hu-HU"/>
        </w:rPr>
        <w:t xml:space="preserve">re (hereinafter referred to as </w:t>
      </w:r>
      <w:r w:rsidRPr="0007456B">
        <w:rPr>
          <w:rFonts w:ascii="Times New Roman" w:eastAsia="Times New Roman" w:hAnsi="Times New Roman" w:cs="Times New Roman"/>
          <w:b/>
          <w:sz w:val="20"/>
          <w:szCs w:val="20"/>
          <w:lang w:val="en-GB" w:eastAsia="hu-HU"/>
        </w:rPr>
        <w:t>student</w:t>
      </w:r>
      <w:r w:rsidRPr="0007456B">
        <w:rPr>
          <w:rFonts w:ascii="Times New Roman" w:eastAsia="Times New Roman" w:hAnsi="Times New Roman" w:cs="Times New Roman"/>
          <w:sz w:val="20"/>
          <w:szCs w:val="20"/>
          <w:lang w:val="en-GB" w:eastAsia="hu-HU"/>
        </w:rPr>
        <w:t xml:space="preserve">), </w:t>
      </w:r>
      <w:r w:rsidRPr="0007456B">
        <w:rPr>
          <w:rFonts w:ascii="Times New Roman" w:eastAsia="Times New Roman" w:hAnsi="Times New Roman" w:cs="Times New Roman"/>
          <w:b/>
          <w:sz w:val="20"/>
          <w:szCs w:val="20"/>
          <w:lang w:val="en-GB" w:eastAsia="hu-HU"/>
        </w:rPr>
        <w:t>as a data controller, processing personal data</w:t>
      </w:r>
      <w:r w:rsidR="007046FD" w:rsidRPr="0007456B">
        <w:rPr>
          <w:rFonts w:ascii="Times New Roman" w:eastAsia="Times New Roman" w:hAnsi="Times New Roman" w:cs="Times New Roman"/>
          <w:b/>
          <w:sz w:val="20"/>
          <w:szCs w:val="20"/>
          <w:lang w:val="en-GB" w:eastAsia="hu-HU"/>
        </w:rPr>
        <w:t>/personal data and special categories of personal data</w:t>
      </w:r>
      <w:r w:rsidR="007046FD" w:rsidRPr="0007456B">
        <w:rPr>
          <w:rStyle w:val="Lbjegyzet-hivatkozs"/>
          <w:rFonts w:ascii="Times New Roman" w:eastAsia="Times New Roman" w:hAnsi="Times New Roman" w:cs="Times New Roman"/>
          <w:b/>
          <w:sz w:val="20"/>
          <w:szCs w:val="20"/>
          <w:lang w:val="en-GB" w:eastAsia="hu-HU"/>
        </w:rPr>
        <w:footnoteReference w:id="1"/>
      </w:r>
      <w:r w:rsidRPr="0007456B">
        <w:rPr>
          <w:rFonts w:ascii="Times New Roman" w:eastAsia="Times New Roman" w:hAnsi="Times New Roman" w:cs="Times New Roman"/>
          <w:b/>
          <w:sz w:val="20"/>
          <w:szCs w:val="20"/>
          <w:lang w:val="en-GB" w:eastAsia="hu-HU"/>
        </w:rPr>
        <w:t xml:space="preserve"> for the purpose of writing a thesis.</w:t>
      </w:r>
    </w:p>
    <w:p w14:paraId="331E8AC2" w14:textId="2E9F8BC4" w:rsidR="00F726E0" w:rsidRPr="007A0458" w:rsidRDefault="00260065" w:rsidP="00361BB5">
      <w:pPr>
        <w:spacing w:after="0" w:line="240" w:lineRule="auto"/>
        <w:jc w:val="both"/>
        <w:rPr>
          <w:rFonts w:ascii="Times New Roman" w:eastAsia="Times New Roman" w:hAnsi="Times New Roman" w:cs="Times New Roman"/>
          <w:bCs/>
          <w:sz w:val="20"/>
          <w:szCs w:val="20"/>
          <w:lang w:val="en-GB" w:eastAsia="hu-HU"/>
        </w:rPr>
      </w:pPr>
      <w:bookmarkStart w:id="1" w:name="_Hlk147227379"/>
      <w:r w:rsidRPr="0007456B">
        <w:rPr>
          <w:rFonts w:ascii="Times New Roman" w:eastAsia="Times New Roman" w:hAnsi="Times New Roman" w:cs="Times New Roman"/>
          <w:bCs/>
          <w:sz w:val="20"/>
          <w:szCs w:val="20"/>
          <w:lang w:val="en-GB" w:eastAsia="hu-HU"/>
        </w:rPr>
        <w:t>In addition, the</w:t>
      </w:r>
      <w:r w:rsidRPr="0007456B">
        <w:rPr>
          <w:rFonts w:ascii="Times New Roman" w:eastAsia="Times New Roman" w:hAnsi="Times New Roman" w:cs="Times New Roman"/>
          <w:b/>
          <w:bCs/>
          <w:sz w:val="20"/>
          <w:szCs w:val="20"/>
          <w:lang w:val="en-GB" w:eastAsia="hu-HU"/>
        </w:rPr>
        <w:t xml:space="preserve"> data controller from the submission of the thesis onwards,</w:t>
      </w:r>
      <w:r w:rsidRPr="0007456B">
        <w:rPr>
          <w:rFonts w:ascii="Times New Roman" w:eastAsia="Times New Roman" w:hAnsi="Times New Roman" w:cs="Times New Roman"/>
          <w:bCs/>
          <w:sz w:val="20"/>
          <w:szCs w:val="20"/>
          <w:lang w:val="en-GB" w:eastAsia="hu-HU"/>
        </w:rPr>
        <w:t xml:space="preserve"> </w:t>
      </w:r>
      <w:r w:rsidRPr="0007456B">
        <w:rPr>
          <w:rFonts w:ascii="Times New Roman" w:eastAsia="Times New Roman" w:hAnsi="Times New Roman" w:cs="Times New Roman"/>
          <w:b/>
          <w:bCs/>
          <w:sz w:val="20"/>
          <w:szCs w:val="20"/>
          <w:lang w:val="en-GB" w:eastAsia="hu-HU"/>
        </w:rPr>
        <w:t xml:space="preserve">in the academic processes is the relevant ELTE Office of </w:t>
      </w:r>
      <w:r w:rsidR="00C60F2A" w:rsidRPr="00C60F2A">
        <w:rPr>
          <w:rFonts w:ascii="Times New Roman" w:eastAsia="Times New Roman" w:hAnsi="Times New Roman" w:cs="Times New Roman"/>
          <w:b/>
          <w:bCs/>
          <w:sz w:val="20"/>
          <w:szCs w:val="20"/>
          <w:lang w:val="en-GB" w:eastAsia="hu-HU"/>
        </w:rPr>
        <w:t>Educational Affairs</w:t>
      </w:r>
      <w:r w:rsidRPr="0007456B">
        <w:rPr>
          <w:rFonts w:ascii="Times New Roman" w:eastAsia="Times New Roman" w:hAnsi="Times New Roman" w:cs="Times New Roman"/>
          <w:b/>
          <w:bCs/>
          <w:sz w:val="20"/>
          <w:szCs w:val="20"/>
          <w:lang w:val="en-GB" w:eastAsia="hu-HU"/>
        </w:rPr>
        <w:t xml:space="preserve"> </w:t>
      </w:r>
      <w:r w:rsidRPr="0007456B">
        <w:rPr>
          <w:rFonts w:ascii="Times New Roman" w:eastAsia="Times New Roman" w:hAnsi="Times New Roman" w:cs="Times New Roman"/>
          <w:bCs/>
          <w:sz w:val="20"/>
          <w:szCs w:val="20"/>
          <w:lang w:val="en-GB" w:eastAsia="hu-HU"/>
        </w:rPr>
        <w:t>(contact:</w:t>
      </w:r>
      <w:r w:rsidR="0007456B" w:rsidRPr="0007456B">
        <w:rPr>
          <w:lang w:val="en-GB"/>
        </w:rPr>
        <w:t xml:space="preserve"> </w:t>
      </w:r>
      <w:hyperlink r:id="rId9" w:history="1">
        <w:r w:rsidR="0007456B" w:rsidRPr="0007456B">
          <w:rPr>
            <w:rStyle w:val="Hiperhivatkozs"/>
            <w:rFonts w:ascii="Times New Roman" w:hAnsi="Times New Roman" w:cs="Times New Roman"/>
            <w:sz w:val="20"/>
            <w:szCs w:val="20"/>
            <w:lang w:val="en-GB"/>
          </w:rPr>
          <w:t>https://www.elte.hu/en/faculty-administration-offices</w:t>
        </w:r>
      </w:hyperlink>
      <w:r w:rsidRPr="0007456B">
        <w:rPr>
          <w:rFonts w:ascii="Times New Roman" w:eastAsia="Times New Roman" w:hAnsi="Times New Roman" w:cs="Times New Roman"/>
          <w:bCs/>
          <w:sz w:val="20"/>
          <w:szCs w:val="20"/>
          <w:lang w:val="en-GB" w:eastAsia="hu-HU"/>
        </w:rPr>
        <w:t xml:space="preserve">) </w:t>
      </w:r>
      <w:r w:rsidR="00F726E0" w:rsidRPr="0007456B">
        <w:rPr>
          <w:rFonts w:ascii="Times New Roman" w:eastAsia="Times New Roman" w:hAnsi="Times New Roman" w:cs="Times New Roman"/>
          <w:bCs/>
          <w:sz w:val="20"/>
          <w:szCs w:val="20"/>
          <w:lang w:val="en-GB" w:eastAsia="hu-HU"/>
        </w:rPr>
        <w:t xml:space="preserve">and for the data processing in the repository, the ELTE University </w:t>
      </w:r>
      <w:r w:rsidR="00F726E0" w:rsidRPr="007A0458">
        <w:rPr>
          <w:rFonts w:ascii="Times New Roman" w:eastAsia="Times New Roman" w:hAnsi="Times New Roman" w:cs="Times New Roman"/>
          <w:bCs/>
          <w:sz w:val="20"/>
          <w:szCs w:val="20"/>
          <w:lang w:val="en-GB" w:eastAsia="hu-HU"/>
        </w:rPr>
        <w:t xml:space="preserve">Library and Archives (contact: </w:t>
      </w:r>
      <w:hyperlink r:id="rId10" w:history="1">
        <w:r w:rsidR="00F726E0" w:rsidRPr="007A0458">
          <w:rPr>
            <w:rStyle w:val="Hiperhivatkozs"/>
            <w:rFonts w:ascii="Times New Roman" w:eastAsia="Times New Roman" w:hAnsi="Times New Roman" w:cs="Times New Roman"/>
            <w:bCs/>
            <w:sz w:val="20"/>
            <w:szCs w:val="20"/>
            <w:lang w:val="en-GB" w:eastAsia="hu-HU"/>
          </w:rPr>
          <w:t>editadmin@lib.elte.hu</w:t>
        </w:r>
      </w:hyperlink>
      <w:r w:rsidR="00F726E0" w:rsidRPr="007A0458">
        <w:rPr>
          <w:rFonts w:ascii="Times New Roman" w:eastAsia="Times New Roman" w:hAnsi="Times New Roman" w:cs="Times New Roman"/>
          <w:bCs/>
          <w:sz w:val="20"/>
          <w:szCs w:val="20"/>
          <w:lang w:val="en-GB" w:eastAsia="hu-HU"/>
        </w:rPr>
        <w:t>).</w:t>
      </w:r>
    </w:p>
    <w:bookmarkEnd w:id="1"/>
    <w:p w14:paraId="50538445" w14:textId="6B8B32E6" w:rsidR="00260065" w:rsidRPr="007A0458" w:rsidRDefault="00260065" w:rsidP="00361BB5">
      <w:pPr>
        <w:spacing w:after="0" w:line="240" w:lineRule="auto"/>
        <w:jc w:val="both"/>
        <w:rPr>
          <w:rFonts w:ascii="Times New Roman" w:eastAsia="Times New Roman" w:hAnsi="Times New Roman" w:cs="Times New Roman"/>
          <w:bCs/>
          <w:sz w:val="20"/>
          <w:szCs w:val="20"/>
          <w:lang w:val="en-GB"/>
        </w:rPr>
      </w:pPr>
      <w:r w:rsidRPr="007A0458">
        <w:rPr>
          <w:rFonts w:ascii="Times New Roman" w:eastAsia="Times New Roman" w:hAnsi="Times New Roman" w:cs="Times New Roman"/>
          <w:bCs/>
          <w:sz w:val="20"/>
          <w:szCs w:val="20"/>
          <w:lang w:val="en-GB"/>
        </w:rPr>
        <w:t>Data processor</w:t>
      </w:r>
      <w:r w:rsidRPr="007A0458">
        <w:rPr>
          <w:rStyle w:val="Lbjegyzet-hivatkozs"/>
          <w:rFonts w:ascii="Times New Roman" w:eastAsia="Times New Roman" w:hAnsi="Times New Roman" w:cs="Times New Roman"/>
          <w:bCs/>
          <w:sz w:val="20"/>
          <w:szCs w:val="20"/>
          <w:lang w:val="en-GB"/>
        </w:rPr>
        <w:footnoteReference w:id="2"/>
      </w:r>
      <w:r w:rsidRPr="007A0458">
        <w:rPr>
          <w:rFonts w:ascii="Times New Roman" w:eastAsia="Times New Roman" w:hAnsi="Times New Roman" w:cs="Times New Roman"/>
          <w:bCs/>
          <w:sz w:val="20"/>
          <w:szCs w:val="20"/>
          <w:lang w:val="en-GB"/>
        </w:rPr>
        <w:t xml:space="preserve">: Microsoft, in case of using MS Forms (online questionnaire); </w:t>
      </w:r>
      <w:r w:rsidR="00562A3D" w:rsidRPr="00562A3D">
        <w:rPr>
          <w:rFonts w:ascii="Times New Roman" w:eastAsia="Times New Roman" w:hAnsi="Times New Roman" w:cs="Times New Roman"/>
          <w:bCs/>
          <w:sz w:val="20"/>
          <w:szCs w:val="20"/>
          <w:lang w:val="en-GB"/>
        </w:rPr>
        <w:t>Campus Codeworks Zrt</w:t>
      </w:r>
      <w:r w:rsidRPr="007A0458">
        <w:rPr>
          <w:rFonts w:ascii="Times New Roman" w:eastAsia="Times New Roman" w:hAnsi="Times New Roman" w:cs="Times New Roman"/>
          <w:bCs/>
          <w:sz w:val="20"/>
          <w:szCs w:val="20"/>
          <w:lang w:val="en-GB"/>
        </w:rPr>
        <w:t>, the operator of the University's electronic study system (NEPTUN).</w:t>
      </w:r>
    </w:p>
    <w:p w14:paraId="4C01FE2C" w14:textId="16D9F1CC" w:rsidR="00B938EE" w:rsidRPr="0007456B" w:rsidRDefault="00A94CDA" w:rsidP="00B938EE">
      <w:pPr>
        <w:spacing w:after="0" w:line="240" w:lineRule="auto"/>
        <w:jc w:val="both"/>
        <w:rPr>
          <w:rFonts w:ascii="Times New Roman" w:eastAsia="Times New Roman" w:hAnsi="Times New Roman" w:cs="Times New Roman"/>
          <w:sz w:val="20"/>
          <w:szCs w:val="20"/>
          <w:lang w:val="en-GB" w:eastAsia="hu-HU"/>
        </w:rPr>
      </w:pPr>
      <w:r w:rsidRPr="007A0458">
        <w:rPr>
          <w:rFonts w:ascii="Times New Roman" w:eastAsia="Times New Roman" w:hAnsi="Times New Roman" w:cs="Times New Roman"/>
          <w:sz w:val="20"/>
          <w:szCs w:val="20"/>
          <w:lang w:val="en-GB" w:eastAsia="hu-HU"/>
        </w:rPr>
        <w:t>Automated decision making</w:t>
      </w:r>
      <w:r w:rsidRPr="007A0458">
        <w:rPr>
          <w:rStyle w:val="Lbjegyzet-hivatkozs"/>
          <w:rFonts w:ascii="Times New Roman" w:eastAsia="Times New Roman" w:hAnsi="Times New Roman" w:cs="Times New Roman"/>
          <w:sz w:val="20"/>
          <w:szCs w:val="20"/>
          <w:lang w:val="en-GB" w:eastAsia="hu-HU"/>
        </w:rPr>
        <w:footnoteReference w:id="3"/>
      </w:r>
      <w:r w:rsidR="00A316F1" w:rsidRPr="007A0458">
        <w:rPr>
          <w:rFonts w:ascii="Times New Roman" w:eastAsia="Times New Roman" w:hAnsi="Times New Roman" w:cs="Times New Roman"/>
          <w:sz w:val="20"/>
          <w:szCs w:val="20"/>
          <w:lang w:val="en-GB" w:eastAsia="hu-HU"/>
        </w:rPr>
        <w:t xml:space="preserve"> </w:t>
      </w:r>
      <w:r w:rsidR="00B938EE" w:rsidRPr="007A0458">
        <w:rPr>
          <w:rFonts w:ascii="Times New Roman" w:eastAsia="Times New Roman" w:hAnsi="Times New Roman" w:cs="Times New Roman"/>
          <w:sz w:val="20"/>
          <w:szCs w:val="20"/>
          <w:lang w:val="en-GB" w:eastAsia="hu-HU"/>
        </w:rPr>
        <w:t xml:space="preserve">does not take place and as it is not possible to </w:t>
      </w:r>
      <w:r w:rsidR="00EE2A78" w:rsidRPr="007A0458">
        <w:rPr>
          <w:rFonts w:ascii="Times New Roman" w:eastAsia="Times New Roman" w:hAnsi="Times New Roman" w:cs="Times New Roman"/>
          <w:sz w:val="20"/>
          <w:szCs w:val="20"/>
          <w:lang w:val="en-GB" w:eastAsia="hu-HU"/>
        </w:rPr>
        <w:t>apply</w:t>
      </w:r>
      <w:r w:rsidR="00FC6AE7" w:rsidRPr="007A0458">
        <w:rPr>
          <w:rFonts w:ascii="Times New Roman" w:eastAsia="Times New Roman" w:hAnsi="Times New Roman" w:cs="Times New Roman"/>
          <w:sz w:val="20"/>
          <w:szCs w:val="20"/>
          <w:lang w:val="en-GB" w:eastAsia="hu-HU"/>
        </w:rPr>
        <w:t xml:space="preserve"> for a grant</w:t>
      </w:r>
      <w:r w:rsidR="00FC6AE7" w:rsidRPr="007A0458" w:rsidDel="00EE2A78">
        <w:rPr>
          <w:rFonts w:ascii="Times New Roman" w:eastAsia="Times New Roman" w:hAnsi="Times New Roman" w:cs="Times New Roman"/>
          <w:sz w:val="20"/>
          <w:szCs w:val="20"/>
          <w:lang w:val="en-GB" w:eastAsia="hu-HU"/>
        </w:rPr>
        <w:t xml:space="preserve"> </w:t>
      </w:r>
      <w:r w:rsidR="00426615" w:rsidRPr="007A0458">
        <w:rPr>
          <w:rFonts w:ascii="Times New Roman" w:eastAsia="Times New Roman" w:hAnsi="Times New Roman" w:cs="Times New Roman"/>
          <w:sz w:val="20"/>
          <w:szCs w:val="20"/>
          <w:lang w:val="en-GB" w:eastAsia="hu-HU"/>
        </w:rPr>
        <w:t>with</w:t>
      </w:r>
      <w:r w:rsidR="00FC6AE7" w:rsidRPr="007A0458">
        <w:rPr>
          <w:rFonts w:ascii="Times New Roman" w:eastAsia="Times New Roman" w:hAnsi="Times New Roman" w:cs="Times New Roman"/>
          <w:sz w:val="20"/>
          <w:szCs w:val="20"/>
          <w:lang w:val="en-GB" w:eastAsia="hu-HU"/>
        </w:rPr>
        <w:t xml:space="preserve"> </w:t>
      </w:r>
      <w:r w:rsidR="00B938EE" w:rsidRPr="007A0458">
        <w:rPr>
          <w:rFonts w:ascii="Times New Roman" w:eastAsia="Times New Roman" w:hAnsi="Times New Roman" w:cs="Times New Roman"/>
          <w:sz w:val="20"/>
          <w:szCs w:val="20"/>
          <w:lang w:val="en-GB" w:eastAsia="hu-HU"/>
        </w:rPr>
        <w:t xml:space="preserve">a thesis </w:t>
      </w:r>
      <w:r w:rsidR="00FC6AE7" w:rsidRPr="007A0458">
        <w:rPr>
          <w:rFonts w:ascii="Times New Roman" w:eastAsia="Times New Roman" w:hAnsi="Times New Roman" w:cs="Times New Roman"/>
          <w:sz w:val="20"/>
          <w:szCs w:val="20"/>
          <w:lang w:val="en-GB" w:eastAsia="hu-HU"/>
        </w:rPr>
        <w:t xml:space="preserve">that is </w:t>
      </w:r>
      <w:r w:rsidR="00774D83">
        <w:rPr>
          <w:rFonts w:ascii="Times New Roman" w:eastAsia="Times New Roman" w:hAnsi="Times New Roman" w:cs="Times New Roman"/>
          <w:sz w:val="20"/>
          <w:szCs w:val="20"/>
          <w:lang w:val="en-GB" w:eastAsia="hu-HU"/>
        </w:rPr>
        <w:t xml:space="preserve">treated </w:t>
      </w:r>
      <w:r w:rsidR="00B938EE" w:rsidRPr="007A0458">
        <w:rPr>
          <w:rFonts w:ascii="Times New Roman" w:eastAsia="Times New Roman" w:hAnsi="Times New Roman" w:cs="Times New Roman"/>
          <w:sz w:val="20"/>
          <w:szCs w:val="20"/>
          <w:lang w:val="en-GB" w:eastAsia="hu-HU"/>
        </w:rPr>
        <w:t>confidentially, the data will not be transferred.</w:t>
      </w:r>
    </w:p>
    <w:p w14:paraId="23C3E81B" w14:textId="77777777" w:rsidR="00361BB5" w:rsidRPr="0007456B" w:rsidRDefault="00361BB5" w:rsidP="00361BB5">
      <w:pPr>
        <w:spacing w:after="0" w:line="240" w:lineRule="auto"/>
        <w:jc w:val="both"/>
        <w:rPr>
          <w:rFonts w:ascii="Times New Roman" w:eastAsia="Times New Roman" w:hAnsi="Times New Roman" w:cs="Times New Roman"/>
          <w:sz w:val="20"/>
          <w:szCs w:val="20"/>
          <w:lang w:val="en-GB" w:eastAsia="hu-HU"/>
        </w:rPr>
      </w:pPr>
    </w:p>
    <w:p w14:paraId="79177F0C" w14:textId="30A5323E" w:rsidR="00434F20" w:rsidRPr="00CD7A7D" w:rsidRDefault="00434F20" w:rsidP="00434F20">
      <w:pPr>
        <w:spacing w:after="0" w:line="240" w:lineRule="auto"/>
        <w:jc w:val="both"/>
        <w:rPr>
          <w:rFonts w:ascii="Times New Roman" w:eastAsia="Times New Roman" w:hAnsi="Times New Roman" w:cs="Times New Roman"/>
          <w:bCs/>
          <w:sz w:val="20"/>
          <w:szCs w:val="20"/>
          <w:lang w:val="en-GB"/>
        </w:rPr>
      </w:pPr>
      <w:bookmarkStart w:id="2" w:name="_Hlk141783251"/>
      <w:r w:rsidRPr="00CD7A7D">
        <w:rPr>
          <w:rFonts w:ascii="Times New Roman" w:eastAsia="Times New Roman" w:hAnsi="Times New Roman" w:cs="Times New Roman"/>
          <w:bCs/>
          <w:sz w:val="20"/>
          <w:szCs w:val="20"/>
          <w:lang w:val="en-GB"/>
        </w:rPr>
        <w:t xml:space="preserve">The thesis containing personal data of the minor concerned is automatically confidential. The defence of the thesis </w:t>
      </w:r>
      <w:r w:rsidR="00774D83">
        <w:rPr>
          <w:rFonts w:ascii="Times New Roman" w:eastAsia="Times New Roman" w:hAnsi="Times New Roman" w:cs="Times New Roman"/>
          <w:bCs/>
          <w:sz w:val="20"/>
          <w:szCs w:val="20"/>
          <w:lang w:val="en-GB"/>
        </w:rPr>
        <w:t>treated</w:t>
      </w:r>
      <w:r w:rsidRPr="00CD7A7D">
        <w:rPr>
          <w:rFonts w:ascii="Times New Roman" w:eastAsia="Times New Roman" w:hAnsi="Times New Roman" w:cs="Times New Roman"/>
          <w:bCs/>
          <w:sz w:val="20"/>
          <w:szCs w:val="20"/>
          <w:lang w:val="en-GB"/>
        </w:rPr>
        <w:t xml:space="preserve"> confidential</w:t>
      </w:r>
      <w:r w:rsidR="00774D83">
        <w:rPr>
          <w:rFonts w:ascii="Times New Roman" w:eastAsia="Times New Roman" w:hAnsi="Times New Roman" w:cs="Times New Roman"/>
          <w:bCs/>
          <w:sz w:val="20"/>
          <w:szCs w:val="20"/>
          <w:lang w:val="en-GB"/>
        </w:rPr>
        <w:t>ly</w:t>
      </w:r>
      <w:r w:rsidRPr="00CD7A7D">
        <w:rPr>
          <w:rFonts w:ascii="Times New Roman" w:eastAsia="Times New Roman" w:hAnsi="Times New Roman" w:cs="Times New Roman"/>
          <w:bCs/>
          <w:sz w:val="20"/>
          <w:szCs w:val="20"/>
          <w:lang w:val="en-GB"/>
        </w:rPr>
        <w:t xml:space="preserve"> is not public. Personal data (including special categories of personal data) asked for the purpose of writing the thesis (e.g. questionnaire, audio recording) and contained in the thesis may be accessed by the staff at the Study Office of the faculty concerned, the supervisor(s)/ subject methodology inst</w:t>
      </w:r>
      <w:r w:rsidR="00682A42">
        <w:rPr>
          <w:rFonts w:ascii="Times New Roman" w:eastAsia="Times New Roman" w:hAnsi="Times New Roman" w:cs="Times New Roman"/>
          <w:bCs/>
          <w:sz w:val="20"/>
          <w:szCs w:val="20"/>
          <w:lang w:val="en-GB"/>
        </w:rPr>
        <w:t>r</w:t>
      </w:r>
      <w:r w:rsidRPr="00CD7A7D">
        <w:rPr>
          <w:rFonts w:ascii="Times New Roman" w:eastAsia="Times New Roman" w:hAnsi="Times New Roman" w:cs="Times New Roman"/>
          <w:bCs/>
          <w:sz w:val="20"/>
          <w:szCs w:val="20"/>
          <w:lang w:val="en-GB"/>
        </w:rPr>
        <w:t>uctor(s), the opponents</w:t>
      </w:r>
      <w:r w:rsidR="00BF7E6E">
        <w:rPr>
          <w:rFonts w:ascii="Times New Roman" w:eastAsia="Times New Roman" w:hAnsi="Times New Roman" w:cs="Times New Roman"/>
          <w:bCs/>
          <w:sz w:val="20"/>
          <w:szCs w:val="20"/>
          <w:lang w:val="en-GB"/>
        </w:rPr>
        <w:t xml:space="preserve"> </w:t>
      </w:r>
      <w:r w:rsidRPr="00CD7A7D">
        <w:rPr>
          <w:rFonts w:ascii="Times New Roman" w:eastAsia="Times New Roman" w:hAnsi="Times New Roman" w:cs="Times New Roman"/>
          <w:bCs/>
          <w:sz w:val="20"/>
          <w:szCs w:val="20"/>
          <w:lang w:val="en-GB"/>
        </w:rPr>
        <w:t>and members of the evaluation committee, a reasonable number of library administrators and the person appointed by the Dean to review the confidentiality</w:t>
      </w:r>
      <w:r w:rsidR="0092110E" w:rsidRPr="00CD7A7D">
        <w:rPr>
          <w:rStyle w:val="Lbjegyzet-hivatkozs"/>
          <w:rFonts w:ascii="Times New Roman" w:eastAsia="Times New Roman" w:hAnsi="Times New Roman" w:cs="Times New Roman"/>
          <w:bCs/>
          <w:sz w:val="20"/>
          <w:szCs w:val="20"/>
          <w:lang w:val="en-GB"/>
        </w:rPr>
        <w:footnoteReference w:id="4"/>
      </w:r>
      <w:r w:rsidRPr="00CD7A7D">
        <w:rPr>
          <w:rFonts w:ascii="Times New Roman" w:eastAsia="Times New Roman" w:hAnsi="Times New Roman" w:cs="Times New Roman"/>
          <w:bCs/>
          <w:sz w:val="20"/>
          <w:szCs w:val="20"/>
          <w:lang w:val="en-GB"/>
        </w:rPr>
        <w:t xml:space="preserve">. </w:t>
      </w:r>
    </w:p>
    <w:p w14:paraId="5D6A98DE" w14:textId="249C3A88" w:rsidR="0092110E" w:rsidRPr="00CD7A7D" w:rsidRDefault="0092110E" w:rsidP="00434F20">
      <w:pPr>
        <w:spacing w:after="0" w:line="240" w:lineRule="auto"/>
        <w:jc w:val="both"/>
        <w:rPr>
          <w:rFonts w:ascii="Times New Roman" w:hAnsi="Times New Roman" w:cs="Times New Roman"/>
          <w:bCs/>
          <w:sz w:val="20"/>
          <w:szCs w:val="20"/>
          <w:lang w:val="en-GB"/>
        </w:rPr>
      </w:pPr>
      <w:r w:rsidRPr="00CD7A7D">
        <w:rPr>
          <w:rFonts w:ascii="Times New Roman" w:hAnsi="Times New Roman" w:cs="Times New Roman"/>
          <w:bCs/>
          <w:sz w:val="20"/>
          <w:szCs w:val="20"/>
          <w:lang w:val="en-GB"/>
        </w:rPr>
        <w:t xml:space="preserve">If the personal data of the </w:t>
      </w:r>
      <w:r w:rsidR="00CD7A7D">
        <w:rPr>
          <w:rFonts w:ascii="Times New Roman" w:hAnsi="Times New Roman" w:cs="Times New Roman"/>
          <w:bCs/>
          <w:sz w:val="20"/>
          <w:szCs w:val="20"/>
          <w:lang w:val="en-GB"/>
        </w:rPr>
        <w:t xml:space="preserve">minor </w:t>
      </w:r>
      <w:r w:rsidRPr="00CD7A7D">
        <w:rPr>
          <w:rFonts w:ascii="Times New Roman" w:hAnsi="Times New Roman" w:cs="Times New Roman"/>
          <w:bCs/>
          <w:sz w:val="20"/>
          <w:szCs w:val="20"/>
          <w:lang w:val="en-GB"/>
        </w:rPr>
        <w:t>data subject are included in the thesis, the consent forms on which the thesis is based will be kept confidential. In all other cases, the voice recordings and questionnaires on which the thesis is based shall be destroyed after the successful defence of the thesis or after the unsuccessful expiry of the time limit for the defence.</w:t>
      </w:r>
    </w:p>
    <w:p w14:paraId="7BD43B69" w14:textId="77777777" w:rsidR="00CD7A7D" w:rsidRPr="00CD7A7D" w:rsidRDefault="00CD7A7D" w:rsidP="00434F20">
      <w:pPr>
        <w:spacing w:after="0" w:line="240" w:lineRule="auto"/>
        <w:jc w:val="both"/>
        <w:rPr>
          <w:rFonts w:ascii="Times New Roman" w:hAnsi="Times New Roman" w:cs="Times New Roman"/>
          <w:bCs/>
          <w:sz w:val="20"/>
          <w:szCs w:val="20"/>
          <w:lang w:val="en-GB"/>
        </w:rPr>
      </w:pPr>
    </w:p>
    <w:p w14:paraId="46DBCC6F" w14:textId="62775520" w:rsidR="00013855" w:rsidRDefault="00013855" w:rsidP="00013855">
      <w:pPr>
        <w:pStyle w:val="Listaszerbekezds"/>
        <w:spacing w:line="240" w:lineRule="auto"/>
        <w:ind w:left="0"/>
        <w:jc w:val="both"/>
        <w:rPr>
          <w:rFonts w:ascii="Times New Roman" w:eastAsia="Times New Roman" w:hAnsi="Times New Roman" w:cs="Times New Roman"/>
          <w:b/>
          <w:sz w:val="20"/>
          <w:szCs w:val="20"/>
          <w:lang w:val="en-GB"/>
        </w:rPr>
      </w:pPr>
      <w:bookmarkStart w:id="3" w:name="_Hlk141783632"/>
      <w:bookmarkEnd w:id="2"/>
      <w:r w:rsidRPr="00DB4C22">
        <w:rPr>
          <w:rFonts w:ascii="Times New Roman" w:hAnsi="Times New Roman" w:cs="Times New Roman"/>
          <w:sz w:val="20"/>
          <w:szCs w:val="20"/>
          <w:lang w:val="en-GB"/>
        </w:rPr>
        <w:t xml:space="preserve">The </w:t>
      </w:r>
      <w:r w:rsidRPr="00DB4C22">
        <w:rPr>
          <w:rFonts w:ascii="Times New Roman" w:hAnsi="Times New Roman" w:cs="Times New Roman"/>
          <w:b/>
          <w:sz w:val="20"/>
          <w:szCs w:val="20"/>
          <w:lang w:val="en-GB"/>
        </w:rPr>
        <w:t>legal basis for the processing</w:t>
      </w:r>
      <w:r w:rsidRPr="00DB4C22">
        <w:rPr>
          <w:rFonts w:ascii="Times New Roman" w:hAnsi="Times New Roman" w:cs="Times New Roman"/>
          <w:sz w:val="20"/>
          <w:szCs w:val="20"/>
          <w:lang w:val="en-GB"/>
        </w:rPr>
        <w:t xml:space="preserve"> </w:t>
      </w:r>
      <w:r w:rsidRPr="00DB4C22">
        <w:rPr>
          <w:rFonts w:ascii="Times New Roman" w:hAnsi="Times New Roman" w:cs="Times New Roman"/>
          <w:b/>
          <w:sz w:val="20"/>
          <w:szCs w:val="20"/>
          <w:lang w:val="en-GB"/>
        </w:rPr>
        <w:t>is</w:t>
      </w:r>
      <w:r w:rsidR="00B122FE" w:rsidRPr="00DB4C22">
        <w:rPr>
          <w:rFonts w:ascii="Times New Roman" w:hAnsi="Times New Roman" w:cs="Times New Roman"/>
          <w:b/>
          <w:sz w:val="20"/>
          <w:szCs w:val="20"/>
          <w:lang w:val="en-GB"/>
        </w:rPr>
        <w:t xml:space="preserve"> the</w:t>
      </w:r>
      <w:r w:rsidRPr="00DB4C22">
        <w:rPr>
          <w:rFonts w:ascii="Times New Roman" w:hAnsi="Times New Roman" w:cs="Times New Roman"/>
          <w:b/>
          <w:sz w:val="20"/>
          <w:szCs w:val="20"/>
          <w:lang w:val="en-GB"/>
        </w:rPr>
        <w:t xml:space="preserve"> consent</w:t>
      </w:r>
      <w:r w:rsidRPr="00DB4C22">
        <w:rPr>
          <w:rFonts w:ascii="Times New Roman" w:hAnsi="Times New Roman" w:cs="Times New Roman"/>
          <w:sz w:val="20"/>
          <w:szCs w:val="20"/>
          <w:lang w:val="en-GB"/>
        </w:rPr>
        <w:t xml:space="preserve"> </w:t>
      </w:r>
      <w:r w:rsidRPr="00DB4C22">
        <w:rPr>
          <w:rFonts w:ascii="Times New Roman" w:hAnsi="Times New Roman" w:cs="Times New Roman"/>
          <w:b/>
          <w:sz w:val="20"/>
          <w:szCs w:val="20"/>
          <w:lang w:val="en-GB"/>
        </w:rPr>
        <w:t>indi</w:t>
      </w:r>
      <w:r w:rsidRPr="00013855">
        <w:rPr>
          <w:rFonts w:ascii="Times New Roman" w:hAnsi="Times New Roman" w:cs="Times New Roman"/>
          <w:b/>
          <w:sz w:val="20"/>
          <w:szCs w:val="20"/>
          <w:lang w:val="en-GB"/>
        </w:rPr>
        <w:t xml:space="preserve">cated </w:t>
      </w:r>
      <w:r w:rsidR="00857939">
        <w:rPr>
          <w:rFonts w:ascii="Times New Roman" w:hAnsi="Times New Roman" w:cs="Times New Roman"/>
          <w:b/>
          <w:sz w:val="20"/>
          <w:szCs w:val="20"/>
          <w:lang w:val="en-GB"/>
        </w:rPr>
        <w:t xml:space="preserve">in the questionnaire </w:t>
      </w:r>
      <w:r w:rsidR="00857939" w:rsidRPr="00857939">
        <w:rPr>
          <w:rFonts w:ascii="Times New Roman" w:hAnsi="Times New Roman" w:cs="Times New Roman"/>
          <w:sz w:val="20"/>
          <w:szCs w:val="20"/>
          <w:lang w:val="en-GB"/>
        </w:rPr>
        <w:t xml:space="preserve">by the </w:t>
      </w:r>
      <w:r w:rsidR="005A4804">
        <w:rPr>
          <w:rFonts w:ascii="Times New Roman" w:hAnsi="Times New Roman" w:cs="Times New Roman"/>
          <w:sz w:val="20"/>
          <w:szCs w:val="20"/>
          <w:lang w:val="en-GB"/>
        </w:rPr>
        <w:t>statutory</w:t>
      </w:r>
      <w:r w:rsidR="00857939" w:rsidRPr="00857939">
        <w:rPr>
          <w:rFonts w:ascii="Times New Roman" w:hAnsi="Times New Roman" w:cs="Times New Roman"/>
          <w:sz w:val="20"/>
          <w:szCs w:val="20"/>
          <w:lang w:val="en-GB"/>
        </w:rPr>
        <w:t xml:space="preserve"> representative of the minor </w:t>
      </w:r>
      <w:r w:rsidR="005A4804">
        <w:rPr>
          <w:rFonts w:ascii="Times New Roman" w:hAnsi="Times New Roman" w:cs="Times New Roman"/>
          <w:sz w:val="20"/>
          <w:szCs w:val="20"/>
          <w:lang w:val="en-GB"/>
        </w:rPr>
        <w:t xml:space="preserve">(e.g. parent) </w:t>
      </w:r>
      <w:r w:rsidR="00857939" w:rsidRPr="00857939">
        <w:rPr>
          <w:rFonts w:ascii="Times New Roman" w:hAnsi="Times New Roman" w:cs="Times New Roman"/>
          <w:sz w:val="20"/>
          <w:szCs w:val="20"/>
          <w:lang w:val="en-GB"/>
        </w:rPr>
        <w:t>concerned and by the minor aged 14 or over,</w:t>
      </w:r>
      <w:r w:rsidR="00857939">
        <w:rPr>
          <w:rFonts w:ascii="Times New Roman" w:hAnsi="Times New Roman" w:cs="Times New Roman"/>
          <w:b/>
          <w:sz w:val="20"/>
          <w:szCs w:val="20"/>
          <w:lang w:val="en-GB"/>
        </w:rPr>
        <w:t xml:space="preserve"> </w:t>
      </w:r>
      <w:r w:rsidR="00857939" w:rsidRPr="00857939">
        <w:rPr>
          <w:rFonts w:ascii="Times New Roman" w:hAnsi="Times New Roman" w:cs="Times New Roman"/>
          <w:sz w:val="20"/>
          <w:szCs w:val="20"/>
          <w:lang w:val="en-GB"/>
        </w:rPr>
        <w:t>in accordance with</w:t>
      </w:r>
      <w:r w:rsidR="00857939" w:rsidRPr="00013855">
        <w:rPr>
          <w:rFonts w:ascii="Times New Roman" w:hAnsi="Times New Roman" w:cs="Times New Roman"/>
          <w:sz w:val="20"/>
          <w:szCs w:val="20"/>
          <w:lang w:val="en-GB"/>
        </w:rPr>
        <w:t xml:space="preserve"> Article 6(1)(a) of the GDPR</w:t>
      </w:r>
      <w:r w:rsidRPr="00013855">
        <w:rPr>
          <w:rFonts w:ascii="Times New Roman" w:hAnsi="Times New Roman" w:cs="Times New Roman"/>
          <w:sz w:val="20"/>
          <w:szCs w:val="20"/>
          <w:lang w:val="en-GB"/>
        </w:rPr>
        <w:t>; in addition, in the case of special categories of data, explicit consent pursuant to Article 9(2)(a) of the GDPR.</w:t>
      </w:r>
      <w:r>
        <w:rPr>
          <w:rFonts w:ascii="Times New Roman" w:hAnsi="Times New Roman" w:cs="Times New Roman"/>
          <w:sz w:val="20"/>
          <w:szCs w:val="20"/>
          <w:lang w:val="en-GB"/>
        </w:rPr>
        <w:t xml:space="preserve"> </w:t>
      </w:r>
      <w:r w:rsidR="007A0458">
        <w:rPr>
          <w:rFonts w:ascii="Times New Roman" w:hAnsi="Times New Roman" w:cs="Times New Roman"/>
          <w:bCs/>
          <w:sz w:val="20"/>
          <w:szCs w:val="20"/>
          <w:lang w:val="en-GB"/>
        </w:rPr>
        <w:t>D</w:t>
      </w:r>
      <w:r>
        <w:rPr>
          <w:rFonts w:ascii="Times New Roman" w:hAnsi="Times New Roman" w:cs="Times New Roman"/>
          <w:bCs/>
          <w:sz w:val="20"/>
          <w:szCs w:val="20"/>
          <w:lang w:val="en-GB"/>
        </w:rPr>
        <w:t>ata subject ha</w:t>
      </w:r>
      <w:r w:rsidR="007A0458">
        <w:rPr>
          <w:rFonts w:ascii="Times New Roman" w:hAnsi="Times New Roman" w:cs="Times New Roman"/>
          <w:bCs/>
          <w:sz w:val="20"/>
          <w:szCs w:val="20"/>
          <w:lang w:val="en-GB"/>
        </w:rPr>
        <w:t>s</w:t>
      </w:r>
      <w:r>
        <w:rPr>
          <w:rFonts w:ascii="Times New Roman" w:hAnsi="Times New Roman" w:cs="Times New Roman"/>
          <w:bCs/>
          <w:sz w:val="20"/>
          <w:szCs w:val="20"/>
          <w:lang w:val="en-GB"/>
        </w:rPr>
        <w:t xml:space="preserve"> </w:t>
      </w:r>
      <w:r w:rsidRPr="00013855">
        <w:rPr>
          <w:rFonts w:ascii="Times New Roman" w:hAnsi="Times New Roman" w:cs="Times New Roman"/>
          <w:sz w:val="20"/>
          <w:szCs w:val="20"/>
          <w:lang w:val="en-GB"/>
        </w:rPr>
        <w:t xml:space="preserve">the right to withdraw </w:t>
      </w:r>
      <w:r w:rsidR="007A0458">
        <w:rPr>
          <w:rFonts w:ascii="Times New Roman" w:hAnsi="Times New Roman" w:cs="Times New Roman"/>
          <w:sz w:val="20"/>
          <w:szCs w:val="20"/>
          <w:lang w:val="en-GB"/>
        </w:rPr>
        <w:t>his/her</w:t>
      </w:r>
      <w:r w:rsidRPr="00013855">
        <w:rPr>
          <w:rFonts w:ascii="Times New Roman" w:hAnsi="Times New Roman" w:cs="Times New Roman"/>
          <w:sz w:val="20"/>
          <w:szCs w:val="20"/>
          <w:lang w:val="en-GB"/>
        </w:rPr>
        <w:t xml:space="preserve"> consent at any time</w:t>
      </w:r>
      <w:r>
        <w:rPr>
          <w:rFonts w:ascii="Times New Roman" w:hAnsi="Times New Roman" w:cs="Times New Roman"/>
          <w:sz w:val="20"/>
          <w:szCs w:val="20"/>
          <w:lang w:val="en-GB"/>
        </w:rPr>
        <w:t>, especially by sending an e-mail to the contact person</w:t>
      </w:r>
      <w:r w:rsidRPr="00013855">
        <w:rPr>
          <w:rFonts w:ascii="Times New Roman" w:hAnsi="Times New Roman" w:cs="Times New Roman"/>
          <w:sz w:val="20"/>
          <w:szCs w:val="20"/>
          <w:lang w:val="en-GB"/>
        </w:rPr>
        <w:t>.</w:t>
      </w:r>
      <w:r w:rsidRPr="0007456B">
        <w:rPr>
          <w:rFonts w:ascii="Times New Roman" w:hAnsi="Times New Roman" w:cs="Times New Roman"/>
          <w:sz w:val="20"/>
          <w:szCs w:val="20"/>
          <w:lang w:val="en-GB"/>
        </w:rPr>
        <w:t xml:space="preserve"> The withdrawal of consent shall not affect the lawfulness of processing based on consent before its withdrawal</w:t>
      </w:r>
      <w:r w:rsidRPr="0007456B">
        <w:rPr>
          <w:rFonts w:ascii="Times New Roman" w:hAnsi="Times New Roman" w:cs="Times New Roman"/>
          <w:i/>
          <w:sz w:val="20"/>
          <w:szCs w:val="20"/>
          <w:lang w:val="en-GB"/>
        </w:rPr>
        <w:t>.</w:t>
      </w:r>
    </w:p>
    <w:p w14:paraId="31824D6A" w14:textId="1F09BFFB" w:rsidR="00013855" w:rsidRPr="001B397B" w:rsidRDefault="00013855" w:rsidP="00361BB5">
      <w:pPr>
        <w:pStyle w:val="Listaszerbekezds"/>
        <w:spacing w:line="240" w:lineRule="auto"/>
        <w:ind w:left="0"/>
        <w:jc w:val="both"/>
        <w:rPr>
          <w:rFonts w:ascii="Times New Roman" w:hAnsi="Times New Roman" w:cs="Times New Roman"/>
          <w:sz w:val="20"/>
          <w:szCs w:val="20"/>
          <w:lang w:val="en-GB"/>
        </w:rPr>
      </w:pPr>
      <w:r w:rsidRPr="001B397B">
        <w:rPr>
          <w:rFonts w:ascii="Times New Roman" w:hAnsi="Times New Roman" w:cs="Times New Roman"/>
          <w:sz w:val="20"/>
          <w:szCs w:val="20"/>
          <w:lang w:val="en-GB"/>
        </w:rPr>
        <w:t xml:space="preserve">Following the submission of the thesis, data processing is necessary for </w:t>
      </w:r>
      <w:r w:rsidRPr="001B397B">
        <w:rPr>
          <w:rFonts w:ascii="Times New Roman" w:hAnsi="Times New Roman" w:cs="Times New Roman"/>
          <w:b/>
          <w:sz w:val="20"/>
          <w:szCs w:val="20"/>
          <w:lang w:val="en-GB"/>
        </w:rPr>
        <w:t>the performance of a task carried out in the public interest</w:t>
      </w:r>
      <w:r w:rsidRPr="001B397B">
        <w:rPr>
          <w:rFonts w:ascii="Times New Roman" w:hAnsi="Times New Roman" w:cs="Times New Roman"/>
          <w:sz w:val="20"/>
          <w:szCs w:val="20"/>
          <w:lang w:val="en-GB"/>
        </w:rPr>
        <w:t xml:space="preserve"> pursuant to Article 6 (1) (e) of the GDPR, in accordance with the rules of Act CCIV of 2011 on National Higher Education. </w:t>
      </w:r>
      <w:r w:rsidR="007A0458">
        <w:rPr>
          <w:rFonts w:ascii="Times New Roman" w:hAnsi="Times New Roman" w:cs="Times New Roman"/>
          <w:sz w:val="20"/>
          <w:szCs w:val="20"/>
          <w:lang w:val="en-GB"/>
        </w:rPr>
        <w:t>D</w:t>
      </w:r>
      <w:r w:rsidR="002F6FE3" w:rsidRPr="001B397B">
        <w:rPr>
          <w:rFonts w:ascii="Times New Roman" w:hAnsi="Times New Roman" w:cs="Times New Roman"/>
          <w:sz w:val="20"/>
          <w:szCs w:val="20"/>
          <w:lang w:val="en-GB"/>
        </w:rPr>
        <w:t xml:space="preserve">ata subject shall have the </w:t>
      </w:r>
      <w:r w:rsidR="002F6FE3" w:rsidRPr="001B397B">
        <w:rPr>
          <w:rFonts w:ascii="Times New Roman" w:hAnsi="Times New Roman" w:cs="Times New Roman"/>
          <w:b/>
          <w:sz w:val="20"/>
          <w:szCs w:val="20"/>
          <w:lang w:val="en-GB"/>
        </w:rPr>
        <w:t>right to object</w:t>
      </w:r>
      <w:r w:rsidR="002F6FE3" w:rsidRPr="001B397B">
        <w:rPr>
          <w:rFonts w:ascii="Times New Roman" w:hAnsi="Times New Roman" w:cs="Times New Roman"/>
          <w:sz w:val="20"/>
          <w:szCs w:val="20"/>
          <w:lang w:val="en-GB"/>
        </w:rPr>
        <w:t xml:space="preserve">, on grounds relating to </w:t>
      </w:r>
      <w:r w:rsidR="007A0458">
        <w:rPr>
          <w:rFonts w:ascii="Times New Roman" w:hAnsi="Times New Roman" w:cs="Times New Roman"/>
          <w:sz w:val="20"/>
          <w:szCs w:val="20"/>
          <w:lang w:val="en-GB"/>
        </w:rPr>
        <w:t>his/her</w:t>
      </w:r>
      <w:r w:rsidR="002F6FE3" w:rsidRPr="001B397B">
        <w:rPr>
          <w:rFonts w:ascii="Times New Roman" w:hAnsi="Times New Roman" w:cs="Times New Roman"/>
          <w:sz w:val="20"/>
          <w:szCs w:val="20"/>
          <w:lang w:val="en-GB"/>
        </w:rPr>
        <w:t xml:space="preserve"> particular situation, </w:t>
      </w:r>
      <w:r w:rsidR="002F6FE3" w:rsidRPr="001B397B">
        <w:rPr>
          <w:rFonts w:ascii="Times New Roman" w:hAnsi="Times New Roman" w:cs="Times New Roman"/>
          <w:b/>
          <w:sz w:val="20"/>
          <w:szCs w:val="20"/>
          <w:lang w:val="en-GB"/>
        </w:rPr>
        <w:t>at any time</w:t>
      </w:r>
      <w:r w:rsidR="002F6FE3" w:rsidRPr="001B397B">
        <w:rPr>
          <w:rFonts w:ascii="Times New Roman" w:hAnsi="Times New Roman" w:cs="Times New Roman"/>
          <w:sz w:val="20"/>
          <w:szCs w:val="20"/>
          <w:lang w:val="en-GB"/>
        </w:rPr>
        <w:t xml:space="preserve"> to processing of personal data concerning </w:t>
      </w:r>
      <w:r w:rsidR="007A0458">
        <w:rPr>
          <w:rFonts w:ascii="Times New Roman" w:hAnsi="Times New Roman" w:cs="Times New Roman"/>
          <w:sz w:val="20"/>
          <w:szCs w:val="20"/>
          <w:lang w:val="en-GB"/>
        </w:rPr>
        <w:t>him/her</w:t>
      </w:r>
      <w:r w:rsidR="002F6FE3" w:rsidRPr="001B397B">
        <w:rPr>
          <w:rFonts w:ascii="Times New Roman" w:hAnsi="Times New Roman" w:cs="Times New Roman"/>
          <w:sz w:val="20"/>
          <w:szCs w:val="20"/>
          <w:lang w:val="en-GB"/>
        </w:rPr>
        <w:t xml:space="preserve">. The controller shall no longer process the personal data unless the controller demonstrates compelling legitimate grounds for the processing which override interests, rights and freedoms </w:t>
      </w:r>
      <w:r w:rsidR="000E3DD2">
        <w:rPr>
          <w:rFonts w:ascii="Times New Roman" w:hAnsi="Times New Roman" w:cs="Times New Roman"/>
          <w:sz w:val="20"/>
          <w:szCs w:val="20"/>
          <w:lang w:val="en-GB"/>
        </w:rPr>
        <w:t xml:space="preserve">of the data subject </w:t>
      </w:r>
      <w:r w:rsidR="002F6FE3" w:rsidRPr="001B397B">
        <w:rPr>
          <w:rFonts w:ascii="Times New Roman" w:hAnsi="Times New Roman" w:cs="Times New Roman"/>
          <w:sz w:val="20"/>
          <w:szCs w:val="20"/>
          <w:lang w:val="en-GB"/>
        </w:rPr>
        <w:t>or for the establishment, exercise or defence of legal claims (hereinafter referred to as right to object).</w:t>
      </w:r>
    </w:p>
    <w:p w14:paraId="2886C161" w14:textId="0037156F" w:rsidR="00361BB5" w:rsidRPr="0007456B" w:rsidRDefault="001B397B" w:rsidP="00361BB5">
      <w:pPr>
        <w:pStyle w:val="Listaszerbekezds"/>
        <w:spacing w:line="240" w:lineRule="auto"/>
        <w:ind w:left="0"/>
        <w:jc w:val="both"/>
        <w:rPr>
          <w:rFonts w:ascii="Times New Roman" w:hAnsi="Times New Roman" w:cs="Times New Roman"/>
          <w:sz w:val="20"/>
          <w:szCs w:val="20"/>
          <w:lang w:val="en-GB"/>
        </w:rPr>
      </w:pPr>
      <w:r w:rsidRPr="001B397B">
        <w:rPr>
          <w:rFonts w:ascii="Times New Roman" w:hAnsi="Times New Roman" w:cs="Times New Roman"/>
          <w:sz w:val="20"/>
          <w:szCs w:val="20"/>
          <w:lang w:val="en-GB"/>
        </w:rPr>
        <w:t xml:space="preserve">The legal basis for the retention of the consent statements is Article 6 (1) (e) of the GDPR, so that the University can demonstrate the legal compliance of its public interest mission and the lawfulness of the processing as set out in Article 5 (2) of the GDPR. </w:t>
      </w:r>
      <w:r w:rsidR="007A0458">
        <w:rPr>
          <w:rFonts w:ascii="Times New Roman" w:hAnsi="Times New Roman" w:cs="Times New Roman"/>
          <w:sz w:val="20"/>
          <w:szCs w:val="20"/>
          <w:lang w:val="en-GB"/>
        </w:rPr>
        <w:t>D</w:t>
      </w:r>
      <w:r w:rsidRPr="001B397B">
        <w:rPr>
          <w:rFonts w:ascii="Times New Roman" w:hAnsi="Times New Roman" w:cs="Times New Roman"/>
          <w:sz w:val="20"/>
          <w:szCs w:val="20"/>
          <w:lang w:val="en-GB"/>
        </w:rPr>
        <w:t xml:space="preserve">ata subject may exercise </w:t>
      </w:r>
      <w:r w:rsidR="007A0458">
        <w:rPr>
          <w:rFonts w:ascii="Times New Roman" w:hAnsi="Times New Roman" w:cs="Times New Roman"/>
          <w:sz w:val="20"/>
          <w:szCs w:val="20"/>
          <w:lang w:val="en-GB"/>
        </w:rPr>
        <w:t>his/her</w:t>
      </w:r>
      <w:r w:rsidRPr="001B397B">
        <w:rPr>
          <w:rFonts w:ascii="Times New Roman" w:hAnsi="Times New Roman" w:cs="Times New Roman"/>
          <w:sz w:val="20"/>
          <w:szCs w:val="20"/>
          <w:lang w:val="en-GB"/>
        </w:rPr>
        <w:t xml:space="preserve"> right to object (see above). </w:t>
      </w:r>
    </w:p>
    <w:p w14:paraId="6D2AEB97" w14:textId="77777777" w:rsidR="00B21BC0" w:rsidRDefault="001B397B" w:rsidP="00B21BC0">
      <w:pPr>
        <w:spacing w:after="0" w:line="240" w:lineRule="auto"/>
        <w:jc w:val="both"/>
        <w:rPr>
          <w:rFonts w:ascii="Times New Roman" w:hAnsi="Times New Roman" w:cs="Times New Roman"/>
          <w:sz w:val="20"/>
          <w:szCs w:val="20"/>
          <w:lang w:val="en-GB"/>
        </w:rPr>
      </w:pPr>
      <w:bookmarkStart w:id="4" w:name="_Hlk141962737"/>
      <w:bookmarkEnd w:id="3"/>
      <w:r w:rsidRPr="001B397B">
        <w:rPr>
          <w:rFonts w:ascii="Times New Roman" w:hAnsi="Times New Roman" w:cs="Times New Roman"/>
          <w:b/>
          <w:sz w:val="20"/>
          <w:szCs w:val="20"/>
          <w:lang w:val="en-GB"/>
        </w:rPr>
        <w:t xml:space="preserve">Duration of </w:t>
      </w:r>
      <w:r>
        <w:rPr>
          <w:rFonts w:ascii="Times New Roman" w:hAnsi="Times New Roman" w:cs="Times New Roman"/>
          <w:b/>
          <w:sz w:val="20"/>
          <w:szCs w:val="20"/>
          <w:lang w:val="en-GB"/>
        </w:rPr>
        <w:t>the processing</w:t>
      </w:r>
      <w:r w:rsidRPr="001B397B">
        <w:rPr>
          <w:rFonts w:ascii="Times New Roman" w:hAnsi="Times New Roman" w:cs="Times New Roman"/>
          <w:b/>
          <w:sz w:val="20"/>
          <w:szCs w:val="20"/>
          <w:lang w:val="en-GB"/>
        </w:rPr>
        <w:t xml:space="preserve">: </w:t>
      </w:r>
      <w:r w:rsidRPr="00B21BC0">
        <w:rPr>
          <w:rFonts w:ascii="Times New Roman" w:hAnsi="Times New Roman" w:cs="Times New Roman"/>
          <w:sz w:val="20"/>
          <w:szCs w:val="20"/>
          <w:lang w:val="en-GB"/>
        </w:rPr>
        <w:t xml:space="preserve">eighty years from the notification of the termination of the student relationship (see Appendix No. 3, point I/B. 3 of the </w:t>
      </w:r>
      <w:r w:rsidR="00B21BC0">
        <w:rPr>
          <w:rFonts w:ascii="Times New Roman" w:hAnsi="Times New Roman" w:cs="Times New Roman"/>
          <w:sz w:val="20"/>
          <w:szCs w:val="20"/>
          <w:lang w:val="en-GB"/>
        </w:rPr>
        <w:t>Act on National Higher Education</w:t>
      </w:r>
      <w:r w:rsidRPr="00B21BC0">
        <w:rPr>
          <w:rFonts w:ascii="Times New Roman" w:hAnsi="Times New Roman" w:cs="Times New Roman"/>
          <w:sz w:val="20"/>
          <w:szCs w:val="20"/>
          <w:lang w:val="en-GB"/>
        </w:rPr>
        <w:t>).</w:t>
      </w:r>
      <w:bookmarkEnd w:id="4"/>
    </w:p>
    <w:p w14:paraId="70280E38" w14:textId="6438ABFD" w:rsidR="00767AB9" w:rsidRPr="0007456B" w:rsidRDefault="00E61C26" w:rsidP="00B21BC0">
      <w:pPr>
        <w:spacing w:after="0" w:line="240" w:lineRule="auto"/>
        <w:jc w:val="both"/>
        <w:rPr>
          <w:rFonts w:ascii="Times New Roman" w:hAnsi="Times New Roman" w:cs="Times New Roman"/>
          <w:b/>
          <w:sz w:val="20"/>
          <w:szCs w:val="20"/>
          <w:lang w:val="en-GB"/>
        </w:rPr>
      </w:pPr>
      <w:r w:rsidRPr="0007456B">
        <w:rPr>
          <w:rFonts w:ascii="Times New Roman" w:hAnsi="Times New Roman" w:cs="Times New Roman"/>
          <w:b/>
          <w:sz w:val="20"/>
          <w:szCs w:val="20"/>
          <w:lang w:val="en-GB"/>
        </w:rPr>
        <w:t xml:space="preserve"> </w:t>
      </w:r>
    </w:p>
    <w:p w14:paraId="343BD02A" w14:textId="77777777" w:rsidR="0004154C" w:rsidRDefault="0004154C">
      <w:pPr>
        <w:spacing w:after="0" w:line="240" w:lineRule="auto"/>
        <w:jc w:val="both"/>
        <w:rPr>
          <w:rFonts w:ascii="Times New Roman" w:hAnsi="Times New Roman" w:cs="Times New Roman"/>
          <w:b/>
          <w:sz w:val="20"/>
          <w:szCs w:val="20"/>
          <w:lang w:val="en-GB"/>
        </w:rPr>
      </w:pPr>
    </w:p>
    <w:p w14:paraId="242BD034" w14:textId="77777777" w:rsidR="0004154C" w:rsidRDefault="0004154C">
      <w:pPr>
        <w:spacing w:after="0" w:line="240" w:lineRule="auto"/>
        <w:jc w:val="both"/>
        <w:rPr>
          <w:rFonts w:ascii="Times New Roman" w:hAnsi="Times New Roman" w:cs="Times New Roman"/>
          <w:b/>
          <w:sz w:val="20"/>
          <w:szCs w:val="20"/>
          <w:lang w:val="en-GB"/>
        </w:rPr>
      </w:pPr>
    </w:p>
    <w:p w14:paraId="2228FA0F" w14:textId="75ADB5FE" w:rsidR="009547B5" w:rsidRDefault="00DB4C22">
      <w:pPr>
        <w:spacing w:after="0" w:line="240" w:lineRule="auto"/>
        <w:jc w:val="both"/>
        <w:rPr>
          <w:rFonts w:ascii="Times New Roman" w:hAnsi="Times New Roman" w:cs="Times New Roman"/>
          <w:sz w:val="20"/>
          <w:szCs w:val="20"/>
          <w:lang w:val="en-GB"/>
        </w:rPr>
      </w:pPr>
      <w:r>
        <w:rPr>
          <w:rFonts w:ascii="Times New Roman" w:hAnsi="Times New Roman" w:cs="Times New Roman"/>
          <w:b/>
          <w:sz w:val="20"/>
          <w:szCs w:val="20"/>
          <w:lang w:val="en-GB"/>
        </w:rPr>
        <w:lastRenderedPageBreak/>
        <w:t>R</w:t>
      </w:r>
      <w:r w:rsidR="00E61C26" w:rsidRPr="009547B5">
        <w:rPr>
          <w:rFonts w:ascii="Times New Roman" w:hAnsi="Times New Roman" w:cs="Times New Roman"/>
          <w:b/>
          <w:sz w:val="20"/>
          <w:szCs w:val="20"/>
          <w:lang w:val="en-GB"/>
        </w:rPr>
        <w:t>ights</w:t>
      </w:r>
      <w:r>
        <w:rPr>
          <w:rFonts w:ascii="Times New Roman" w:hAnsi="Times New Roman" w:cs="Times New Roman"/>
          <w:b/>
          <w:sz w:val="20"/>
          <w:szCs w:val="20"/>
          <w:lang w:val="en-GB"/>
        </w:rPr>
        <w:t xml:space="preserve"> of data subject</w:t>
      </w:r>
      <w:r w:rsidR="00361BB5" w:rsidRPr="009547B5">
        <w:rPr>
          <w:rFonts w:ascii="Times New Roman" w:hAnsi="Times New Roman" w:cs="Times New Roman"/>
          <w:b/>
          <w:sz w:val="20"/>
          <w:szCs w:val="20"/>
          <w:lang w:val="en-GB"/>
        </w:rPr>
        <w:t xml:space="preserve"> </w:t>
      </w:r>
      <w:r w:rsidR="00361BB5" w:rsidRPr="009547B5">
        <w:rPr>
          <w:rFonts w:ascii="Times New Roman" w:hAnsi="Times New Roman" w:cs="Times New Roman"/>
          <w:bCs/>
          <w:sz w:val="20"/>
          <w:szCs w:val="20"/>
          <w:lang w:val="en-GB"/>
        </w:rPr>
        <w:t>(</w:t>
      </w:r>
      <w:r w:rsidR="009547B5" w:rsidRPr="009547B5">
        <w:rPr>
          <w:rFonts w:ascii="Times New Roman" w:hAnsi="Times New Roman" w:cs="Times New Roman"/>
          <w:bCs/>
          <w:sz w:val="20"/>
          <w:szCs w:val="20"/>
          <w:lang w:val="en-GB"/>
        </w:rPr>
        <w:t>for details see</w:t>
      </w:r>
      <w:r w:rsidR="00361BB5" w:rsidRPr="0007456B">
        <w:rPr>
          <w:rFonts w:ascii="Times New Roman" w:hAnsi="Times New Roman" w:cs="Times New Roman"/>
          <w:sz w:val="20"/>
          <w:szCs w:val="20"/>
          <w:lang w:val="en-GB"/>
        </w:rPr>
        <w:t xml:space="preserve"> </w:t>
      </w:r>
      <w:hyperlink r:id="rId11" w:history="1">
        <w:r w:rsidR="009547B5" w:rsidRPr="000D424A">
          <w:rPr>
            <w:rStyle w:val="Hiperhivatkozs"/>
            <w:rFonts w:ascii="Times New Roman" w:hAnsi="Times New Roman" w:cs="Times New Roman"/>
            <w:sz w:val="20"/>
            <w:szCs w:val="20"/>
            <w:lang w:val="en-GB"/>
          </w:rPr>
          <w:t>https://adatvedelem.elte.hu/rightsofdatasubject</w:t>
        </w:r>
      </w:hyperlink>
      <w:r w:rsidR="009547B5">
        <w:rPr>
          <w:rFonts w:ascii="Times New Roman" w:hAnsi="Times New Roman" w:cs="Times New Roman"/>
          <w:sz w:val="20"/>
          <w:szCs w:val="20"/>
          <w:lang w:val="en-GB"/>
        </w:rPr>
        <w:t>):</w:t>
      </w:r>
    </w:p>
    <w:p w14:paraId="1DEDB57D" w14:textId="6D898EA5" w:rsidR="00767AB9" w:rsidRPr="0007456B" w:rsidRDefault="00767AB9">
      <w:pPr>
        <w:spacing w:after="0" w:line="240" w:lineRule="auto"/>
        <w:jc w:val="both"/>
        <w:rPr>
          <w:rFonts w:ascii="Times New Roman" w:hAnsi="Times New Roman" w:cs="Times New Roman"/>
          <w:b/>
          <w:sz w:val="20"/>
          <w:szCs w:val="20"/>
          <w:lang w:val="en-GB"/>
        </w:rPr>
      </w:pPr>
    </w:p>
    <w:p w14:paraId="2A1D9E89" w14:textId="656B9DB8"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Transparent information, communication and modalities for the exercise of the rights of the data subject</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 xml:space="preserve">– In this privacy notice the controller provides information about the circumstances of data processing, e.g.  data controller, purposes, legal basis and duration of data processing, </w:t>
      </w:r>
      <w:r w:rsidR="00504914" w:rsidRPr="00504914">
        <w:rPr>
          <w:rFonts w:ascii="Times New Roman" w:hAnsi="Times New Roman" w:cs="Times New Roman"/>
          <w:sz w:val="20"/>
          <w:szCs w:val="20"/>
          <w:lang w:val="en-GB"/>
        </w:rPr>
        <w:t>enforceable data subject rights</w:t>
      </w:r>
      <w:r w:rsidRPr="0007456B">
        <w:rPr>
          <w:rFonts w:ascii="Times New Roman" w:hAnsi="Times New Roman" w:cs="Times New Roman"/>
          <w:sz w:val="20"/>
          <w:szCs w:val="20"/>
          <w:lang w:val="en-GB"/>
        </w:rPr>
        <w:t xml:space="preserve">, complaint procedures and available legal remedies for data subjects; </w:t>
      </w:r>
    </w:p>
    <w:p w14:paraId="4D57A823" w14:textId="0FE85351"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of access by the data subject</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 xml:space="preserve">– </w:t>
      </w:r>
      <w:r w:rsidR="00D630FD">
        <w:rPr>
          <w:rFonts w:ascii="Times New Roman" w:hAnsi="Times New Roman" w:cs="Times New Roman"/>
          <w:sz w:val="20"/>
          <w:szCs w:val="20"/>
          <w:lang w:val="en-GB"/>
        </w:rPr>
        <w:t>Data subject</w:t>
      </w:r>
      <w:r w:rsidRPr="0007456B">
        <w:rPr>
          <w:rFonts w:ascii="Times New Roman" w:hAnsi="Times New Roman" w:cs="Times New Roman"/>
          <w:sz w:val="20"/>
          <w:szCs w:val="20"/>
          <w:lang w:val="en-GB"/>
        </w:rPr>
        <w:t xml:space="preserve"> </w:t>
      </w:r>
      <w:r w:rsidR="005A4804">
        <w:rPr>
          <w:rFonts w:ascii="Times New Roman" w:hAnsi="Times New Roman" w:cs="Times New Roman"/>
          <w:sz w:val="20"/>
          <w:szCs w:val="20"/>
          <w:lang w:val="en-GB"/>
        </w:rPr>
        <w:t xml:space="preserve">has </w:t>
      </w:r>
      <w:r w:rsidRPr="0007456B">
        <w:rPr>
          <w:rFonts w:ascii="Times New Roman" w:hAnsi="Times New Roman" w:cs="Times New Roman"/>
          <w:sz w:val="20"/>
          <w:szCs w:val="20"/>
          <w:lang w:val="en-GB"/>
        </w:rPr>
        <w:t xml:space="preserve">the right to obtain from the controller confirmation as to whether or not personal data concerning </w:t>
      </w:r>
      <w:r w:rsidR="00D630FD">
        <w:rPr>
          <w:rFonts w:ascii="Times New Roman" w:hAnsi="Times New Roman" w:cs="Times New Roman"/>
          <w:sz w:val="20"/>
          <w:szCs w:val="20"/>
          <w:lang w:val="en-GB"/>
        </w:rPr>
        <w:t>him/her</w:t>
      </w:r>
      <w:r w:rsidRPr="0007456B">
        <w:rPr>
          <w:rFonts w:ascii="Times New Roman" w:hAnsi="Times New Roman" w:cs="Times New Roman"/>
          <w:sz w:val="20"/>
          <w:szCs w:val="20"/>
          <w:lang w:val="en-GB"/>
        </w:rPr>
        <w:t xml:space="preserve"> are being processed, the controller shall provide complete information and a copy of the personal data undergoing processing;</w:t>
      </w:r>
    </w:p>
    <w:p w14:paraId="36DA33A9" w14:textId="74B893BC"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rectification</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w:t>
      </w:r>
      <w:r w:rsidRPr="0007456B">
        <w:rPr>
          <w:rFonts w:ascii="Times New Roman" w:hAnsi="Times New Roman" w:cs="Times New Roman"/>
          <w:bCs/>
          <w:color w:val="000000"/>
          <w:sz w:val="20"/>
          <w:szCs w:val="20"/>
          <w:shd w:val="clear" w:color="auto" w:fill="FFFFFF"/>
          <w:lang w:val="en-GB"/>
        </w:rPr>
        <w:t xml:space="preserve"> </w:t>
      </w:r>
      <w:r w:rsidR="00D630FD">
        <w:rPr>
          <w:rFonts w:ascii="Times New Roman" w:hAnsi="Times New Roman" w:cs="Times New Roman"/>
          <w:bCs/>
          <w:color w:val="000000"/>
          <w:sz w:val="20"/>
          <w:szCs w:val="20"/>
          <w:shd w:val="clear" w:color="auto" w:fill="FFFFFF"/>
          <w:lang w:val="en-GB"/>
        </w:rPr>
        <w:t>Data subject has</w:t>
      </w:r>
      <w:r w:rsidRPr="0007456B">
        <w:rPr>
          <w:rFonts w:ascii="Times New Roman" w:hAnsi="Times New Roman" w:cs="Times New Roman"/>
          <w:sz w:val="20"/>
          <w:szCs w:val="20"/>
          <w:lang w:val="en-GB"/>
        </w:rPr>
        <w:t xml:space="preserve"> the right to obtain from the controller the rectification of inaccurate personal data concerning </w:t>
      </w:r>
      <w:r w:rsidR="00D630FD">
        <w:rPr>
          <w:rFonts w:ascii="Times New Roman" w:hAnsi="Times New Roman" w:cs="Times New Roman"/>
          <w:sz w:val="20"/>
          <w:szCs w:val="20"/>
          <w:lang w:val="en-GB"/>
        </w:rPr>
        <w:t>him/her</w:t>
      </w:r>
      <w:r w:rsidRPr="0007456B">
        <w:rPr>
          <w:rFonts w:ascii="Times New Roman" w:hAnsi="Times New Roman" w:cs="Times New Roman"/>
          <w:sz w:val="20"/>
          <w:szCs w:val="20"/>
          <w:lang w:val="en-GB"/>
        </w:rPr>
        <w:t xml:space="preserve"> and </w:t>
      </w:r>
      <w:r w:rsidR="00D630FD">
        <w:rPr>
          <w:rFonts w:ascii="Times New Roman" w:hAnsi="Times New Roman" w:cs="Times New Roman"/>
          <w:sz w:val="20"/>
          <w:szCs w:val="20"/>
          <w:lang w:val="en-GB"/>
        </w:rPr>
        <w:t>data subject</w:t>
      </w:r>
      <w:r w:rsidRPr="0007456B">
        <w:rPr>
          <w:rFonts w:ascii="Times New Roman" w:hAnsi="Times New Roman" w:cs="Times New Roman"/>
          <w:sz w:val="20"/>
          <w:szCs w:val="20"/>
          <w:lang w:val="en-GB"/>
        </w:rPr>
        <w:t xml:space="preserve"> also ha</w:t>
      </w:r>
      <w:r w:rsidR="00D630FD">
        <w:rPr>
          <w:rFonts w:ascii="Times New Roman" w:hAnsi="Times New Roman" w:cs="Times New Roman"/>
          <w:sz w:val="20"/>
          <w:szCs w:val="20"/>
          <w:lang w:val="en-GB"/>
        </w:rPr>
        <w:t>s</w:t>
      </w:r>
      <w:r w:rsidRPr="0007456B">
        <w:rPr>
          <w:rFonts w:ascii="Times New Roman" w:hAnsi="Times New Roman" w:cs="Times New Roman"/>
          <w:sz w:val="20"/>
          <w:szCs w:val="20"/>
          <w:lang w:val="en-GB"/>
        </w:rPr>
        <w:t xml:space="preserve"> the right to have incomplete personal data completed;</w:t>
      </w:r>
    </w:p>
    <w:p w14:paraId="6BFCB847" w14:textId="3DD730F8"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erasure (‘right to be forgotten’)</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w:t>
      </w:r>
      <w:r w:rsidRPr="0007456B">
        <w:rPr>
          <w:rFonts w:ascii="Times New Roman" w:hAnsi="Times New Roman" w:cs="Times New Roman"/>
          <w:bCs/>
          <w:color w:val="000000"/>
          <w:sz w:val="20"/>
          <w:szCs w:val="20"/>
          <w:shd w:val="clear" w:color="auto" w:fill="FFFFFF"/>
          <w:lang w:val="en-GB"/>
        </w:rPr>
        <w:t xml:space="preserve"> </w:t>
      </w:r>
      <w:r w:rsidR="00D630FD">
        <w:rPr>
          <w:rFonts w:ascii="Times New Roman" w:hAnsi="Times New Roman" w:cs="Times New Roman"/>
          <w:bCs/>
          <w:color w:val="000000"/>
          <w:sz w:val="20"/>
          <w:szCs w:val="20"/>
          <w:shd w:val="clear" w:color="auto" w:fill="FFFFFF"/>
          <w:lang w:val="en-GB"/>
        </w:rPr>
        <w:t>Data subject</w:t>
      </w:r>
      <w:r w:rsidRPr="0007456B">
        <w:rPr>
          <w:rFonts w:ascii="Times New Roman" w:hAnsi="Times New Roman" w:cs="Times New Roman"/>
          <w:bCs/>
          <w:color w:val="000000"/>
          <w:sz w:val="20"/>
          <w:szCs w:val="20"/>
          <w:shd w:val="clear" w:color="auto" w:fill="FFFFFF"/>
          <w:lang w:val="en-GB"/>
        </w:rPr>
        <w:t xml:space="preserve"> can ask for the controller the erasure of </w:t>
      </w:r>
      <w:r w:rsidR="00D630FD">
        <w:rPr>
          <w:rFonts w:ascii="Times New Roman" w:hAnsi="Times New Roman" w:cs="Times New Roman"/>
          <w:bCs/>
          <w:color w:val="000000"/>
          <w:sz w:val="20"/>
          <w:szCs w:val="20"/>
          <w:shd w:val="clear" w:color="auto" w:fill="FFFFFF"/>
          <w:lang w:val="en-GB"/>
        </w:rPr>
        <w:t>his/her</w:t>
      </w:r>
      <w:r w:rsidRPr="0007456B">
        <w:rPr>
          <w:rFonts w:ascii="Times New Roman" w:hAnsi="Times New Roman" w:cs="Times New Roman"/>
          <w:bCs/>
          <w:color w:val="000000"/>
          <w:sz w:val="20"/>
          <w:szCs w:val="20"/>
          <w:shd w:val="clear" w:color="auto" w:fill="FFFFFF"/>
          <w:lang w:val="en-GB"/>
        </w:rPr>
        <w:t xml:space="preserve"> personal data;</w:t>
      </w:r>
    </w:p>
    <w:p w14:paraId="59366C7C" w14:textId="11A8226F"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restriction of processing</w:t>
      </w:r>
      <w:r w:rsidRPr="0007456B">
        <w:rPr>
          <w:rFonts w:ascii="Times New Roman" w:hAnsi="Times New Roman" w:cs="Times New Roman"/>
          <w:sz w:val="20"/>
          <w:szCs w:val="20"/>
          <w:lang w:val="en-GB"/>
        </w:rPr>
        <w:t xml:space="preserve"> – If </w:t>
      </w:r>
      <w:r w:rsidR="00D630FD">
        <w:rPr>
          <w:rFonts w:ascii="Times New Roman" w:hAnsi="Times New Roman" w:cs="Times New Roman"/>
          <w:sz w:val="20"/>
          <w:szCs w:val="20"/>
          <w:lang w:val="en-GB"/>
        </w:rPr>
        <w:t>the data subject</w:t>
      </w:r>
      <w:r w:rsidRPr="0007456B">
        <w:rPr>
          <w:rFonts w:ascii="Times New Roman" w:hAnsi="Times New Roman" w:cs="Times New Roman"/>
          <w:sz w:val="20"/>
          <w:szCs w:val="20"/>
          <w:lang w:val="en-GB"/>
        </w:rPr>
        <w:t xml:space="preserve"> ask</w:t>
      </w:r>
      <w:r w:rsidR="00D630FD">
        <w:rPr>
          <w:rFonts w:ascii="Times New Roman" w:hAnsi="Times New Roman" w:cs="Times New Roman"/>
          <w:sz w:val="20"/>
          <w:szCs w:val="20"/>
          <w:lang w:val="en-GB"/>
        </w:rPr>
        <w:t>s</w:t>
      </w:r>
      <w:r w:rsidRPr="0007456B">
        <w:rPr>
          <w:rFonts w:ascii="Times New Roman" w:hAnsi="Times New Roman" w:cs="Times New Roman"/>
          <w:sz w:val="20"/>
          <w:szCs w:val="20"/>
          <w:lang w:val="en-GB"/>
        </w:rPr>
        <w:t xml:space="preserve">, </w:t>
      </w:r>
      <w:r w:rsidR="00D630FD">
        <w:rPr>
          <w:rFonts w:ascii="Times New Roman" w:hAnsi="Times New Roman" w:cs="Times New Roman"/>
          <w:sz w:val="20"/>
          <w:szCs w:val="20"/>
          <w:lang w:val="en-GB"/>
        </w:rPr>
        <w:t>his/her</w:t>
      </w:r>
      <w:r w:rsidRPr="0007456B">
        <w:rPr>
          <w:rFonts w:ascii="Times New Roman" w:hAnsi="Times New Roman" w:cs="Times New Roman"/>
          <w:sz w:val="20"/>
          <w:szCs w:val="20"/>
          <w:lang w:val="en-GB"/>
        </w:rPr>
        <w:t xml:space="preserve"> </w:t>
      </w:r>
      <w:r w:rsidRPr="0007456B">
        <w:rPr>
          <w:rFonts w:ascii="Times New Roman" w:hAnsi="Times New Roman" w:cs="Times New Roman"/>
          <w:bCs/>
          <w:color w:val="000000"/>
          <w:sz w:val="20"/>
          <w:szCs w:val="20"/>
          <w:shd w:val="clear" w:color="auto" w:fill="FFFFFF"/>
          <w:lang w:val="en-GB"/>
        </w:rPr>
        <w:t>personal data can’t be processed with the exception of storage;</w:t>
      </w:r>
    </w:p>
    <w:p w14:paraId="17ECB215" w14:textId="74626FEC"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color w:val="000000"/>
          <w:sz w:val="20"/>
          <w:szCs w:val="20"/>
          <w:lang w:val="en-GB"/>
        </w:rPr>
      </w:pPr>
      <w:r w:rsidRPr="0007456B">
        <w:rPr>
          <w:rFonts w:ascii="Times New Roman" w:hAnsi="Times New Roman" w:cs="Times New Roman"/>
          <w:b/>
          <w:bCs/>
          <w:color w:val="000000"/>
          <w:sz w:val="20"/>
          <w:szCs w:val="20"/>
          <w:shd w:val="clear" w:color="auto" w:fill="FFFFFF"/>
          <w:lang w:val="en-GB"/>
        </w:rPr>
        <w:t>Notification obligation regarding rectification or erasure of personal data or restriction of processing</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w:t>
      </w:r>
      <w:r w:rsidR="00107C04" w:rsidRPr="0007456B">
        <w:rPr>
          <w:rFonts w:ascii="Times New Roman" w:hAnsi="Times New Roman" w:cs="Times New Roman"/>
          <w:sz w:val="20"/>
          <w:szCs w:val="20"/>
          <w:lang w:val="en-GB"/>
        </w:rPr>
        <w:t xml:space="preserve"> </w:t>
      </w:r>
      <w:r w:rsidRPr="0007456B">
        <w:rPr>
          <w:rFonts w:ascii="Times New Roman" w:hAnsi="Times New Roman" w:cs="Times New Roman"/>
          <w:sz w:val="20"/>
          <w:szCs w:val="20"/>
          <w:lang w:val="en-GB"/>
        </w:rPr>
        <w:t xml:space="preserve">We inform </w:t>
      </w:r>
      <w:r w:rsidR="00D630FD">
        <w:rPr>
          <w:rFonts w:ascii="Times New Roman" w:hAnsi="Times New Roman" w:cs="Times New Roman"/>
          <w:sz w:val="20"/>
          <w:szCs w:val="20"/>
          <w:lang w:val="en-GB"/>
        </w:rPr>
        <w:t>the data subje</w:t>
      </w:r>
      <w:r w:rsidR="005A4804">
        <w:rPr>
          <w:rFonts w:ascii="Times New Roman" w:hAnsi="Times New Roman" w:cs="Times New Roman"/>
          <w:sz w:val="20"/>
          <w:szCs w:val="20"/>
          <w:lang w:val="en-GB"/>
        </w:rPr>
        <w:t>c</w:t>
      </w:r>
      <w:r w:rsidR="00D630FD">
        <w:rPr>
          <w:rFonts w:ascii="Times New Roman" w:hAnsi="Times New Roman" w:cs="Times New Roman"/>
          <w:sz w:val="20"/>
          <w:szCs w:val="20"/>
          <w:lang w:val="en-GB"/>
        </w:rPr>
        <w:t>t</w:t>
      </w:r>
      <w:r w:rsidRPr="0007456B">
        <w:rPr>
          <w:rFonts w:ascii="Times New Roman" w:hAnsi="Times New Roman" w:cs="Times New Roman"/>
          <w:sz w:val="20"/>
          <w:szCs w:val="20"/>
          <w:lang w:val="en-GB"/>
        </w:rPr>
        <w:t xml:space="preserve"> about the recipients referred to GDPR under the conditions set out in the GDPR;</w:t>
      </w:r>
    </w:p>
    <w:p w14:paraId="6E788BB8" w14:textId="78E2F234"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data portability</w:t>
      </w:r>
      <w:r w:rsidRPr="0007456B">
        <w:rPr>
          <w:rFonts w:ascii="Times New Roman" w:hAnsi="Times New Roman" w:cs="Times New Roman"/>
          <w:sz w:val="20"/>
          <w:szCs w:val="20"/>
          <w:lang w:val="en-GB"/>
        </w:rPr>
        <w:t xml:space="preserve"> (if the controller processes </w:t>
      </w:r>
      <w:r w:rsidR="00D630FD">
        <w:rPr>
          <w:rFonts w:ascii="Times New Roman" w:hAnsi="Times New Roman" w:cs="Times New Roman"/>
          <w:sz w:val="20"/>
          <w:szCs w:val="20"/>
          <w:lang w:val="en-GB"/>
        </w:rPr>
        <w:t>the</w:t>
      </w:r>
      <w:r w:rsidRPr="0007456B">
        <w:rPr>
          <w:rFonts w:ascii="Times New Roman" w:hAnsi="Times New Roman" w:cs="Times New Roman"/>
          <w:sz w:val="20"/>
          <w:szCs w:val="20"/>
          <w:lang w:val="en-GB"/>
        </w:rPr>
        <w:t xml:space="preserve"> data on the basis of </w:t>
      </w:r>
      <w:r w:rsidR="00D630FD">
        <w:rPr>
          <w:rFonts w:ascii="Times New Roman" w:hAnsi="Times New Roman" w:cs="Times New Roman"/>
          <w:sz w:val="20"/>
          <w:szCs w:val="20"/>
          <w:lang w:val="en-GB"/>
        </w:rPr>
        <w:t>the data subje</w:t>
      </w:r>
      <w:r w:rsidR="005A4804">
        <w:rPr>
          <w:rFonts w:ascii="Times New Roman" w:hAnsi="Times New Roman" w:cs="Times New Roman"/>
          <w:sz w:val="20"/>
          <w:szCs w:val="20"/>
          <w:lang w:val="en-GB"/>
        </w:rPr>
        <w:t>c</w:t>
      </w:r>
      <w:r w:rsidR="00D630FD">
        <w:rPr>
          <w:rFonts w:ascii="Times New Roman" w:hAnsi="Times New Roman" w:cs="Times New Roman"/>
          <w:sz w:val="20"/>
          <w:szCs w:val="20"/>
          <w:lang w:val="en-GB"/>
        </w:rPr>
        <w:t>t’s</w:t>
      </w:r>
      <w:r w:rsidRPr="0007456B">
        <w:rPr>
          <w:rFonts w:ascii="Times New Roman" w:hAnsi="Times New Roman" w:cs="Times New Roman"/>
          <w:sz w:val="20"/>
          <w:szCs w:val="20"/>
          <w:lang w:val="en-GB"/>
        </w:rPr>
        <w:t xml:space="preserve"> consent/contract </w:t>
      </w:r>
      <w:r w:rsidRPr="0007456B">
        <w:rPr>
          <w:rFonts w:ascii="Times New Roman" w:hAnsi="Times New Roman" w:cs="Times New Roman"/>
          <w:color w:val="000000"/>
          <w:sz w:val="20"/>
          <w:szCs w:val="20"/>
          <w:lang w:val="en-GB"/>
        </w:rPr>
        <w:br/>
        <w:t>and the processing is carried out by automated means</w:t>
      </w:r>
      <w:r w:rsidRPr="0007456B">
        <w:rPr>
          <w:rFonts w:ascii="Times New Roman" w:hAnsi="Times New Roman" w:cs="Times New Roman"/>
          <w:sz w:val="20"/>
          <w:szCs w:val="20"/>
          <w:lang w:val="en-GB"/>
        </w:rPr>
        <w:t xml:space="preserve">) – </w:t>
      </w:r>
      <w:r w:rsidR="00D630FD">
        <w:rPr>
          <w:rFonts w:ascii="Times New Roman" w:hAnsi="Times New Roman" w:cs="Times New Roman"/>
          <w:sz w:val="20"/>
          <w:szCs w:val="20"/>
          <w:lang w:val="en-GB"/>
        </w:rPr>
        <w:t>data subject</w:t>
      </w:r>
      <w:r w:rsidRPr="0007456B">
        <w:rPr>
          <w:rFonts w:ascii="Times New Roman" w:hAnsi="Times New Roman" w:cs="Times New Roman"/>
          <w:sz w:val="20"/>
          <w:szCs w:val="20"/>
          <w:lang w:val="en-GB"/>
        </w:rPr>
        <w:t xml:space="preserve"> ha</w:t>
      </w:r>
      <w:r w:rsidR="00D630FD">
        <w:rPr>
          <w:rFonts w:ascii="Times New Roman" w:hAnsi="Times New Roman" w:cs="Times New Roman"/>
          <w:sz w:val="20"/>
          <w:szCs w:val="20"/>
          <w:lang w:val="en-GB"/>
        </w:rPr>
        <w:t>s</w:t>
      </w:r>
      <w:r w:rsidRPr="0007456B">
        <w:rPr>
          <w:rFonts w:ascii="Times New Roman" w:hAnsi="Times New Roman" w:cs="Times New Roman"/>
          <w:sz w:val="20"/>
          <w:szCs w:val="20"/>
          <w:lang w:val="en-GB"/>
        </w:rPr>
        <w:t xml:space="preserve"> the right to receive </w:t>
      </w:r>
      <w:r w:rsidR="00D630FD">
        <w:rPr>
          <w:rFonts w:ascii="Times New Roman" w:hAnsi="Times New Roman" w:cs="Times New Roman"/>
          <w:sz w:val="20"/>
          <w:szCs w:val="20"/>
          <w:lang w:val="en-GB"/>
        </w:rPr>
        <w:t>his/her</w:t>
      </w:r>
      <w:r w:rsidRPr="0007456B">
        <w:rPr>
          <w:rFonts w:ascii="Times New Roman" w:hAnsi="Times New Roman" w:cs="Times New Roman"/>
          <w:sz w:val="20"/>
          <w:szCs w:val="20"/>
          <w:lang w:val="en-GB"/>
        </w:rPr>
        <w:t xml:space="preserve"> personal data, which </w:t>
      </w:r>
      <w:r w:rsidR="00D630FD">
        <w:rPr>
          <w:rFonts w:ascii="Times New Roman" w:hAnsi="Times New Roman" w:cs="Times New Roman"/>
          <w:sz w:val="20"/>
          <w:szCs w:val="20"/>
          <w:lang w:val="en-GB"/>
        </w:rPr>
        <w:t>the data subject has</w:t>
      </w:r>
      <w:r w:rsidRPr="0007456B">
        <w:rPr>
          <w:rFonts w:ascii="Times New Roman" w:hAnsi="Times New Roman" w:cs="Times New Roman"/>
          <w:sz w:val="20"/>
          <w:szCs w:val="20"/>
          <w:lang w:val="en-GB"/>
        </w:rPr>
        <w:t xml:space="preserve"> provided to a controller, in a structured, commonly used and machine-readable format and </w:t>
      </w:r>
      <w:r w:rsidR="00D630FD">
        <w:rPr>
          <w:rFonts w:ascii="Times New Roman" w:hAnsi="Times New Roman" w:cs="Times New Roman"/>
          <w:sz w:val="20"/>
          <w:szCs w:val="20"/>
          <w:lang w:val="en-GB"/>
        </w:rPr>
        <w:t>the data subject has</w:t>
      </w:r>
      <w:r w:rsidR="0052475A" w:rsidRPr="0007456B">
        <w:rPr>
          <w:rFonts w:ascii="Times New Roman" w:hAnsi="Times New Roman" w:cs="Times New Roman"/>
          <w:sz w:val="20"/>
          <w:szCs w:val="20"/>
          <w:lang w:val="en-GB"/>
        </w:rPr>
        <w:t xml:space="preserve"> the right to have the personal data transmitted directly from one controller to another, where technically feasible</w:t>
      </w:r>
      <w:r w:rsidRPr="0007456B">
        <w:rPr>
          <w:rFonts w:ascii="Times New Roman" w:hAnsi="Times New Roman" w:cs="Times New Roman"/>
          <w:color w:val="000000"/>
          <w:sz w:val="20"/>
          <w:szCs w:val="20"/>
          <w:lang w:val="en-GB"/>
        </w:rPr>
        <w:t>;</w:t>
      </w:r>
    </w:p>
    <w:p w14:paraId="2195059C" w14:textId="5EBC3D60"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object</w:t>
      </w:r>
      <w:r w:rsidRPr="0007456B">
        <w:rPr>
          <w:rFonts w:ascii="Times New Roman" w:hAnsi="Times New Roman" w:cs="Times New Roman"/>
          <w:sz w:val="20"/>
          <w:szCs w:val="20"/>
          <w:lang w:val="en-GB"/>
        </w:rPr>
        <w:t xml:space="preserve"> – </w:t>
      </w:r>
      <w:r w:rsidR="00D630FD">
        <w:rPr>
          <w:rFonts w:ascii="Times New Roman" w:hAnsi="Times New Roman" w:cs="Times New Roman"/>
          <w:sz w:val="20"/>
          <w:szCs w:val="20"/>
          <w:lang w:val="en-GB"/>
        </w:rPr>
        <w:t>Data subject</w:t>
      </w:r>
      <w:r w:rsidRPr="0007456B">
        <w:rPr>
          <w:rFonts w:ascii="Times New Roman" w:hAnsi="Times New Roman" w:cs="Times New Roman"/>
          <w:color w:val="000000"/>
          <w:sz w:val="20"/>
          <w:szCs w:val="20"/>
          <w:shd w:val="clear" w:color="auto" w:fill="FFFFFF"/>
          <w:lang w:val="en-GB"/>
        </w:rPr>
        <w:t xml:space="preserve"> can object, at any time to processing of </w:t>
      </w:r>
      <w:r w:rsidR="00D630FD">
        <w:rPr>
          <w:rFonts w:ascii="Times New Roman" w:hAnsi="Times New Roman" w:cs="Times New Roman"/>
          <w:color w:val="000000"/>
          <w:sz w:val="20"/>
          <w:szCs w:val="20"/>
          <w:shd w:val="clear" w:color="auto" w:fill="FFFFFF"/>
          <w:lang w:val="en-GB"/>
        </w:rPr>
        <w:t>his/her</w:t>
      </w:r>
      <w:r w:rsidRPr="0007456B">
        <w:rPr>
          <w:rFonts w:ascii="Times New Roman" w:hAnsi="Times New Roman" w:cs="Times New Roman"/>
          <w:color w:val="000000"/>
          <w:sz w:val="20"/>
          <w:szCs w:val="20"/>
          <w:shd w:val="clear" w:color="auto" w:fill="FFFFFF"/>
          <w:lang w:val="en-GB"/>
        </w:rPr>
        <w:t xml:space="preserve">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sidRPr="0007456B">
        <w:rPr>
          <w:rFonts w:ascii="Times New Roman" w:hAnsi="Times New Roman" w:cs="Times New Roman"/>
          <w:sz w:val="20"/>
          <w:szCs w:val="20"/>
          <w:lang w:val="en-GB"/>
        </w:rPr>
        <w:t xml:space="preserve"> </w:t>
      </w:r>
    </w:p>
    <w:p w14:paraId="6D04FD92" w14:textId="7A4640D2" w:rsidR="00767AB9" w:rsidRPr="0007456B" w:rsidRDefault="00E61C26">
      <w:pPr>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sidRPr="0007456B">
        <w:rPr>
          <w:rFonts w:ascii="Times New Roman" w:hAnsi="Times New Roman" w:cs="Times New Roman"/>
          <w:color w:val="000000"/>
          <w:sz w:val="20"/>
          <w:szCs w:val="20"/>
          <w:shd w:val="clear" w:color="auto" w:fill="FFFFFF"/>
          <w:lang w:val="en-GB"/>
        </w:rPr>
        <w:t xml:space="preserve"> </w:t>
      </w:r>
      <w:r w:rsidRPr="0007456B">
        <w:rPr>
          <w:rFonts w:ascii="Times New Roman" w:hAnsi="Times New Roman" w:cs="Times New Roman"/>
          <w:sz w:val="20"/>
          <w:szCs w:val="20"/>
          <w:lang w:val="en-GB"/>
        </w:rPr>
        <w:t xml:space="preserve">– </w:t>
      </w:r>
      <w:r w:rsidR="00D630FD">
        <w:rPr>
          <w:rFonts w:ascii="Times New Roman" w:hAnsi="Times New Roman" w:cs="Times New Roman"/>
          <w:sz w:val="20"/>
          <w:szCs w:val="20"/>
          <w:lang w:val="en-GB"/>
        </w:rPr>
        <w:t xml:space="preserve">Data subject </w:t>
      </w:r>
      <w:r w:rsidR="005A4804">
        <w:rPr>
          <w:rFonts w:ascii="Times New Roman" w:hAnsi="Times New Roman" w:cs="Times New Roman"/>
          <w:sz w:val="20"/>
          <w:szCs w:val="20"/>
          <w:lang w:val="en-GB"/>
        </w:rPr>
        <w:t>may</w:t>
      </w:r>
      <w:r w:rsidR="00D630FD">
        <w:rPr>
          <w:rFonts w:ascii="Times New Roman" w:hAnsi="Times New Roman" w:cs="Times New Roman"/>
          <w:sz w:val="20"/>
          <w:szCs w:val="20"/>
          <w:lang w:val="en-GB"/>
        </w:rPr>
        <w:t xml:space="preserve"> t</w:t>
      </w:r>
      <w:r w:rsidRPr="0007456B">
        <w:rPr>
          <w:rFonts w:ascii="Times New Roman" w:hAnsi="Times New Roman" w:cs="Times New Roman"/>
          <w:sz w:val="20"/>
          <w:szCs w:val="20"/>
          <w:lang w:val="en-GB"/>
        </w:rPr>
        <w:t xml:space="preserve">ell us, if </w:t>
      </w:r>
      <w:r w:rsidR="00D630FD">
        <w:rPr>
          <w:rFonts w:ascii="Times New Roman" w:hAnsi="Times New Roman" w:cs="Times New Roman"/>
          <w:sz w:val="20"/>
          <w:szCs w:val="20"/>
          <w:lang w:val="en-GB"/>
        </w:rPr>
        <w:t>he/she is</w:t>
      </w:r>
      <w:r w:rsidRPr="0007456B">
        <w:rPr>
          <w:rFonts w:ascii="Times New Roman" w:hAnsi="Times New Roman" w:cs="Times New Roman"/>
          <w:sz w:val="20"/>
          <w:szCs w:val="20"/>
          <w:lang w:val="en-GB"/>
        </w:rPr>
        <w:t xml:space="preserve"> concerned! This right is not relevant if this privacy notice does not contain information about automated decision-making.</w:t>
      </w:r>
    </w:p>
    <w:p w14:paraId="7380CA50" w14:textId="0D34E0A6" w:rsidR="00767AB9" w:rsidRPr="0007456B" w:rsidRDefault="00E61C26">
      <w:pPr>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sz w:val="20"/>
          <w:szCs w:val="20"/>
          <w:lang w:val="en-GB"/>
        </w:rPr>
        <w:t>The right to legal remedy</w:t>
      </w:r>
      <w:r w:rsidRPr="0007456B">
        <w:rPr>
          <w:rFonts w:ascii="Times New Roman" w:hAnsi="Times New Roman" w:cs="Times New Roman"/>
          <w:sz w:val="20"/>
          <w:szCs w:val="20"/>
          <w:lang w:val="en-GB"/>
        </w:rPr>
        <w:t xml:space="preserve"> – In the case of breach of rights, </w:t>
      </w:r>
      <w:r w:rsidR="00240871">
        <w:rPr>
          <w:rFonts w:ascii="Times New Roman" w:hAnsi="Times New Roman" w:cs="Times New Roman"/>
          <w:sz w:val="20"/>
          <w:szCs w:val="20"/>
          <w:lang w:val="en-GB"/>
        </w:rPr>
        <w:t>data subject</w:t>
      </w:r>
      <w:r w:rsidRPr="0007456B">
        <w:rPr>
          <w:rFonts w:ascii="Times New Roman" w:hAnsi="Times New Roman" w:cs="Times New Roman"/>
          <w:sz w:val="20"/>
          <w:szCs w:val="20"/>
          <w:lang w:val="en-GB"/>
        </w:rPr>
        <w:t xml:space="preserve"> can turn to the data protection officer, to the </w:t>
      </w:r>
      <w:r w:rsidRPr="0007456B">
        <w:rPr>
          <w:rFonts w:ascii="Times New Roman" w:hAnsi="Times New Roman" w:cs="Times New Roman"/>
          <w:bCs/>
          <w:iCs/>
          <w:color w:val="000000"/>
          <w:sz w:val="20"/>
          <w:szCs w:val="20"/>
          <w:lang w:val="en-GB"/>
        </w:rPr>
        <w:t xml:space="preserve">National Authority for Data Protection and Freedom of Information or </w:t>
      </w:r>
      <w:r w:rsidR="00240871">
        <w:rPr>
          <w:rFonts w:ascii="Times New Roman" w:hAnsi="Times New Roman" w:cs="Times New Roman"/>
          <w:bCs/>
          <w:iCs/>
          <w:color w:val="000000"/>
          <w:sz w:val="20"/>
          <w:szCs w:val="20"/>
          <w:lang w:val="en-GB"/>
        </w:rPr>
        <w:t xml:space="preserve">data subject </w:t>
      </w:r>
      <w:r w:rsidRPr="0007456B">
        <w:rPr>
          <w:rFonts w:ascii="Times New Roman" w:hAnsi="Times New Roman" w:cs="Times New Roman"/>
          <w:bCs/>
          <w:iCs/>
          <w:color w:val="000000"/>
          <w:sz w:val="20"/>
          <w:szCs w:val="20"/>
          <w:lang w:val="en-GB"/>
        </w:rPr>
        <w:t>can sue in court.</w:t>
      </w:r>
    </w:p>
    <w:p w14:paraId="2EDE5E11" w14:textId="77777777" w:rsidR="00767AB9" w:rsidRPr="0007456B" w:rsidRDefault="00767AB9" w:rsidP="00655E90">
      <w:pPr>
        <w:spacing w:after="0" w:line="240" w:lineRule="auto"/>
        <w:ind w:left="284"/>
        <w:jc w:val="both"/>
        <w:rPr>
          <w:rFonts w:ascii="Times New Roman" w:hAnsi="Times New Roman" w:cs="Times New Roman"/>
          <w:b/>
          <w:sz w:val="20"/>
          <w:szCs w:val="20"/>
          <w:u w:val="single"/>
          <w:lang w:val="en-GB"/>
        </w:rPr>
      </w:pPr>
    </w:p>
    <w:p w14:paraId="3AA751BC" w14:textId="0E56EE26" w:rsidR="00655E90" w:rsidRPr="0007456B" w:rsidRDefault="00240871" w:rsidP="00655E90">
      <w:pPr>
        <w:spacing w:after="0" w:line="240" w:lineRule="auto"/>
        <w:ind w:left="284"/>
        <w:jc w:val="both"/>
        <w:rPr>
          <w:rFonts w:ascii="Times New Roman" w:hAnsi="Times New Roman" w:cs="Times New Roman"/>
          <w:b/>
          <w:sz w:val="20"/>
          <w:szCs w:val="20"/>
          <w:u w:val="single"/>
          <w:lang w:val="en-GB"/>
        </w:rPr>
      </w:pPr>
      <w:bookmarkStart w:id="5" w:name="_Hlk135838897"/>
      <w:r>
        <w:rPr>
          <w:rFonts w:ascii="Times New Roman" w:hAnsi="Times New Roman" w:cs="Times New Roman"/>
          <w:b/>
          <w:sz w:val="20"/>
          <w:szCs w:val="20"/>
          <w:u w:val="single"/>
          <w:lang w:val="en-GB"/>
        </w:rPr>
        <w:t>In the case of</w:t>
      </w:r>
      <w:r w:rsidR="00655E90" w:rsidRPr="0007456B">
        <w:rPr>
          <w:rFonts w:ascii="Times New Roman" w:hAnsi="Times New Roman" w:cs="Times New Roman"/>
          <w:b/>
          <w:sz w:val="20"/>
          <w:szCs w:val="20"/>
          <w:u w:val="single"/>
          <w:lang w:val="en-GB"/>
        </w:rPr>
        <w:t xml:space="preserve"> any questions or </w:t>
      </w:r>
      <w:r>
        <w:rPr>
          <w:rFonts w:ascii="Times New Roman" w:hAnsi="Times New Roman" w:cs="Times New Roman"/>
          <w:b/>
          <w:sz w:val="20"/>
          <w:szCs w:val="20"/>
          <w:u w:val="single"/>
          <w:lang w:val="en-GB"/>
        </w:rPr>
        <w:t>the</w:t>
      </w:r>
      <w:r w:rsidR="00655E90" w:rsidRPr="0007456B">
        <w:rPr>
          <w:rFonts w:ascii="Times New Roman" w:hAnsi="Times New Roman" w:cs="Times New Roman"/>
          <w:b/>
          <w:sz w:val="20"/>
          <w:szCs w:val="20"/>
          <w:u w:val="single"/>
          <w:lang w:val="en-GB"/>
        </w:rPr>
        <w:t xml:space="preserve"> need legal remedy, </w:t>
      </w:r>
      <w:r>
        <w:rPr>
          <w:rFonts w:ascii="Times New Roman" w:hAnsi="Times New Roman" w:cs="Times New Roman"/>
          <w:b/>
          <w:sz w:val="20"/>
          <w:szCs w:val="20"/>
          <w:u w:val="single"/>
          <w:lang w:val="en-GB"/>
        </w:rPr>
        <w:t xml:space="preserve">the data subject may </w:t>
      </w:r>
      <w:r w:rsidR="00655E90" w:rsidRPr="0007456B">
        <w:rPr>
          <w:rFonts w:ascii="Times New Roman" w:hAnsi="Times New Roman" w:cs="Times New Roman"/>
          <w:b/>
          <w:sz w:val="20"/>
          <w:szCs w:val="20"/>
          <w:u w:val="single"/>
          <w:lang w:val="en-GB"/>
        </w:rPr>
        <w:t>turn to:</w:t>
      </w:r>
    </w:p>
    <w:bookmarkEnd w:id="5"/>
    <w:p w14:paraId="23CB8785" w14:textId="77777777" w:rsidR="00767AB9" w:rsidRPr="0007456B" w:rsidRDefault="00E61C26" w:rsidP="00655E90">
      <w:pPr>
        <w:spacing w:after="0" w:line="240" w:lineRule="auto"/>
        <w:ind w:left="284"/>
        <w:jc w:val="both"/>
        <w:rPr>
          <w:rFonts w:ascii="Times New Roman" w:hAnsi="Times New Roman" w:cs="Times New Roman"/>
          <w:b/>
          <w:sz w:val="20"/>
          <w:szCs w:val="20"/>
          <w:u w:val="single"/>
          <w:lang w:val="en-GB"/>
        </w:rPr>
      </w:pPr>
      <w:r w:rsidRPr="0007456B">
        <w:rPr>
          <w:rFonts w:ascii="Times New Roman" w:hAnsi="Times New Roman" w:cs="Times New Roman"/>
          <w:b/>
          <w:sz w:val="20"/>
          <w:szCs w:val="20"/>
          <w:u w:val="single"/>
          <w:lang w:val="en-GB"/>
        </w:rPr>
        <w:t>Data protection officer of the University:</w:t>
      </w:r>
    </w:p>
    <w:p w14:paraId="521ACEE2" w14:textId="78834E52" w:rsidR="00767AB9" w:rsidRPr="0007456B" w:rsidRDefault="00E61C26" w:rsidP="00655E90">
      <w:pPr>
        <w:spacing w:after="0" w:line="240" w:lineRule="auto"/>
        <w:ind w:left="284"/>
        <w:jc w:val="both"/>
        <w:rPr>
          <w:rFonts w:ascii="Times New Roman" w:eastAsia="Calibri" w:hAnsi="Times New Roman"/>
          <w:sz w:val="24"/>
          <w:szCs w:val="24"/>
          <w:lang w:val="en-GB" w:eastAsia="hu-HU"/>
        </w:rPr>
      </w:pPr>
      <w:r w:rsidRPr="0007456B">
        <w:rPr>
          <w:rFonts w:ascii="Times New Roman" w:hAnsi="Times New Roman" w:cs="Times New Roman"/>
          <w:sz w:val="20"/>
          <w:szCs w:val="20"/>
          <w:lang w:val="en-GB"/>
        </w:rPr>
        <w:t xml:space="preserve">Data Protection </w:t>
      </w:r>
      <w:r w:rsidR="00107C04" w:rsidRPr="0007456B">
        <w:rPr>
          <w:rFonts w:ascii="Times New Roman" w:hAnsi="Times New Roman" w:cs="Times New Roman"/>
          <w:sz w:val="20"/>
          <w:szCs w:val="20"/>
          <w:lang w:val="en-GB"/>
        </w:rPr>
        <w:t>Office</w:t>
      </w:r>
    </w:p>
    <w:p w14:paraId="733FA9AC" w14:textId="77777777" w:rsidR="00C720F5" w:rsidRDefault="00C720F5" w:rsidP="00C720F5">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1056 Budapest, Szerb u. 21-23.</w:t>
      </w:r>
    </w:p>
    <w:p w14:paraId="325FD653" w14:textId="3E05CDC3"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 xml:space="preserve">Email: </w:t>
      </w:r>
      <w:hyperlink r:id="rId12" w:history="1">
        <w:r w:rsidR="00107C04" w:rsidRPr="0007456B">
          <w:rPr>
            <w:rStyle w:val="Hiperhivatkozs"/>
            <w:rFonts w:ascii="Times New Roman" w:hAnsi="Times New Roman" w:cs="Times New Roman"/>
            <w:sz w:val="20"/>
            <w:szCs w:val="20"/>
            <w:lang w:val="en-GB"/>
          </w:rPr>
          <w:t>dataprotection@elte.hu</w:t>
        </w:r>
      </w:hyperlink>
    </w:p>
    <w:p w14:paraId="21ADEB5F" w14:textId="77777777" w:rsidR="00767AB9" w:rsidRPr="0007456B" w:rsidRDefault="00767AB9" w:rsidP="00655E90">
      <w:pPr>
        <w:spacing w:after="0" w:line="240" w:lineRule="auto"/>
        <w:ind w:left="284"/>
        <w:jc w:val="both"/>
        <w:rPr>
          <w:rFonts w:ascii="Times New Roman" w:hAnsi="Times New Roman" w:cs="Times New Roman"/>
          <w:b/>
          <w:bCs/>
          <w:iCs/>
          <w:color w:val="000000"/>
          <w:sz w:val="20"/>
          <w:szCs w:val="20"/>
          <w:u w:val="single"/>
          <w:lang w:val="en-GB"/>
        </w:rPr>
      </w:pPr>
    </w:p>
    <w:p w14:paraId="282B5E59" w14:textId="77777777" w:rsidR="00767AB9" w:rsidRPr="0007456B" w:rsidRDefault="00E61C26" w:rsidP="00655E90">
      <w:pPr>
        <w:spacing w:after="0" w:line="240" w:lineRule="auto"/>
        <w:ind w:left="284"/>
        <w:jc w:val="both"/>
        <w:rPr>
          <w:rFonts w:ascii="Times New Roman" w:hAnsi="Times New Roman" w:cs="Times New Roman"/>
          <w:sz w:val="20"/>
          <w:szCs w:val="20"/>
          <w:u w:val="single"/>
          <w:lang w:val="en-GB"/>
        </w:rPr>
      </w:pPr>
      <w:r w:rsidRPr="0007456B">
        <w:rPr>
          <w:rFonts w:ascii="Times New Roman" w:hAnsi="Times New Roman" w:cs="Times New Roman"/>
          <w:b/>
          <w:bCs/>
          <w:iCs/>
          <w:color w:val="000000"/>
          <w:sz w:val="20"/>
          <w:szCs w:val="20"/>
          <w:u w:val="single"/>
          <w:lang w:val="en-GB"/>
        </w:rPr>
        <w:t>National Authority for Data Protection and Freedom of Information</w:t>
      </w:r>
      <w:r w:rsidRPr="0007456B">
        <w:rPr>
          <w:rFonts w:ascii="Times New Roman" w:hAnsi="Times New Roman" w:cs="Times New Roman"/>
          <w:sz w:val="20"/>
          <w:szCs w:val="20"/>
          <w:u w:val="single"/>
          <w:lang w:val="en-GB"/>
        </w:rPr>
        <w:t xml:space="preserve"> </w:t>
      </w:r>
    </w:p>
    <w:p w14:paraId="22CF5713" w14:textId="77777777"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1363 Budapest, Pf. 9.</w:t>
      </w:r>
    </w:p>
    <w:p w14:paraId="074C261C" w14:textId="77777777" w:rsidR="00767AB9" w:rsidRPr="0007456B" w:rsidRDefault="00562A3D" w:rsidP="00655E90">
      <w:pPr>
        <w:spacing w:after="0" w:line="240" w:lineRule="auto"/>
        <w:ind w:left="284"/>
        <w:jc w:val="both"/>
        <w:rPr>
          <w:rFonts w:ascii="Times New Roman" w:hAnsi="Times New Roman" w:cs="Times New Roman"/>
          <w:sz w:val="20"/>
          <w:szCs w:val="20"/>
          <w:lang w:val="en-GB"/>
        </w:rPr>
      </w:pPr>
      <w:hyperlink r:id="rId13" w:history="1">
        <w:r w:rsidR="00E61C26" w:rsidRPr="0007456B">
          <w:rPr>
            <w:rStyle w:val="Hiperhivatkozs"/>
            <w:rFonts w:ascii="Times New Roman" w:hAnsi="Times New Roman" w:cs="Times New Roman"/>
            <w:sz w:val="20"/>
            <w:szCs w:val="20"/>
            <w:lang w:val="en-GB"/>
          </w:rPr>
          <w:t>www.naih.hu</w:t>
        </w:r>
      </w:hyperlink>
    </w:p>
    <w:p w14:paraId="0F5EA81D" w14:textId="77777777"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Tel.: +36-1-391-1400</w:t>
      </w:r>
    </w:p>
    <w:p w14:paraId="3D640CE5" w14:textId="77777777" w:rsidR="00767AB9" w:rsidRPr="0007456B" w:rsidRDefault="00767AB9" w:rsidP="00655E90">
      <w:pPr>
        <w:spacing w:after="0" w:line="240" w:lineRule="auto"/>
        <w:jc w:val="both"/>
        <w:rPr>
          <w:rFonts w:ascii="Times New Roman" w:hAnsi="Times New Roman" w:cs="Times New Roman"/>
          <w:sz w:val="20"/>
          <w:szCs w:val="20"/>
          <w:u w:val="single"/>
          <w:lang w:val="en-GB"/>
        </w:rPr>
      </w:pPr>
    </w:p>
    <w:p w14:paraId="424F750C" w14:textId="77777777" w:rsidR="00767AB9" w:rsidRPr="0007456B" w:rsidRDefault="00E61C26" w:rsidP="00655E90">
      <w:pPr>
        <w:spacing w:after="0" w:line="240" w:lineRule="auto"/>
        <w:ind w:left="284"/>
        <w:jc w:val="both"/>
        <w:rPr>
          <w:rFonts w:ascii="Times New Roman" w:hAnsi="Times New Roman" w:cs="Times New Roman"/>
          <w:b/>
          <w:color w:val="000000"/>
          <w:sz w:val="20"/>
          <w:szCs w:val="20"/>
          <w:lang w:val="en-GB"/>
        </w:rPr>
      </w:pPr>
      <w:r w:rsidRPr="0007456B">
        <w:rPr>
          <w:rFonts w:ascii="Times New Roman" w:hAnsi="Times New Roman" w:cs="Times New Roman"/>
          <w:b/>
          <w:sz w:val="20"/>
          <w:szCs w:val="20"/>
          <w:u w:val="single"/>
          <w:lang w:val="en-GB"/>
        </w:rPr>
        <w:t>The court:</w:t>
      </w:r>
    </w:p>
    <w:p w14:paraId="5745EE2B" w14:textId="18D481F6" w:rsidR="00767AB9" w:rsidRPr="0007456B" w:rsidRDefault="00240871" w:rsidP="009547B5">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Data subject</w:t>
      </w:r>
      <w:r w:rsidR="00E61C26" w:rsidRPr="0007456B">
        <w:rPr>
          <w:rFonts w:ascii="Times New Roman" w:hAnsi="Times New Roman" w:cs="Times New Roman"/>
          <w:sz w:val="20"/>
          <w:szCs w:val="20"/>
          <w:lang w:val="en-GB"/>
        </w:rPr>
        <w:t xml:space="preserve"> can sue for a claim according to </w:t>
      </w:r>
      <w:r>
        <w:rPr>
          <w:rFonts w:ascii="Times New Roman" w:hAnsi="Times New Roman" w:cs="Times New Roman"/>
          <w:sz w:val="20"/>
          <w:szCs w:val="20"/>
          <w:lang w:val="en-GB"/>
        </w:rPr>
        <w:t>his/her</w:t>
      </w:r>
      <w:r w:rsidR="00E61C26" w:rsidRPr="0007456B">
        <w:rPr>
          <w:rFonts w:ascii="Times New Roman" w:hAnsi="Times New Roman" w:cs="Times New Roman"/>
          <w:sz w:val="20"/>
          <w:szCs w:val="20"/>
          <w:lang w:val="en-GB"/>
        </w:rPr>
        <w:t xml:space="preserve"> place of residence.</w:t>
      </w:r>
    </w:p>
    <w:sectPr w:rsidR="00767AB9" w:rsidRPr="0007456B">
      <w:footerReference w:type="default" r:id="rId14"/>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E29E" w14:textId="77777777" w:rsidR="00767AB9" w:rsidRDefault="00E61C26">
      <w:pPr>
        <w:spacing w:line="240" w:lineRule="auto"/>
      </w:pPr>
      <w:r>
        <w:separator/>
      </w:r>
    </w:p>
  </w:endnote>
  <w:endnote w:type="continuationSeparator" w:id="0">
    <w:p w14:paraId="53696ABE" w14:textId="77777777" w:rsidR="00767AB9" w:rsidRDefault="00E61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758996"/>
    </w:sdtPr>
    <w:sdtEndPr/>
    <w:sdtContent>
      <w:p w14:paraId="3ED5E5A8" w14:textId="7C0F828E" w:rsidR="00767AB9" w:rsidRDefault="00E61C26">
        <w:pPr>
          <w:pStyle w:val="llb"/>
          <w:jc w:val="center"/>
        </w:pPr>
        <w:r w:rsidRPr="00471551">
          <w:rPr>
            <w:rFonts w:ascii="Times New Roman" w:hAnsi="Times New Roman" w:cs="Times New Roman"/>
            <w:sz w:val="20"/>
            <w:szCs w:val="20"/>
          </w:rPr>
          <w:fldChar w:fldCharType="begin"/>
        </w:r>
        <w:r w:rsidRPr="00471551">
          <w:rPr>
            <w:rFonts w:ascii="Times New Roman" w:hAnsi="Times New Roman" w:cs="Times New Roman"/>
            <w:sz w:val="20"/>
            <w:szCs w:val="20"/>
          </w:rPr>
          <w:instrText>PAGE   \* MERGEFORMAT</w:instrText>
        </w:r>
        <w:r w:rsidRPr="00471551">
          <w:rPr>
            <w:rFonts w:ascii="Times New Roman" w:hAnsi="Times New Roman" w:cs="Times New Roman"/>
            <w:sz w:val="20"/>
            <w:szCs w:val="20"/>
          </w:rPr>
          <w:fldChar w:fldCharType="separate"/>
        </w:r>
        <w:r w:rsidR="00D1169C" w:rsidRPr="00471551">
          <w:rPr>
            <w:rFonts w:ascii="Times New Roman" w:hAnsi="Times New Roman" w:cs="Times New Roman"/>
            <w:noProof/>
            <w:sz w:val="20"/>
            <w:szCs w:val="20"/>
          </w:rPr>
          <w:t>6</w:t>
        </w:r>
        <w:r w:rsidRPr="00471551">
          <w:rPr>
            <w:rFonts w:ascii="Times New Roman" w:hAnsi="Times New Roman" w:cs="Times New Roman"/>
            <w:sz w:val="20"/>
            <w:szCs w:val="20"/>
          </w:rPr>
          <w:fldChar w:fldCharType="end"/>
        </w:r>
      </w:p>
    </w:sdtContent>
  </w:sdt>
  <w:p w14:paraId="2ED833E7" w14:textId="77777777" w:rsidR="00767AB9" w:rsidRDefault="00767AB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FB4D" w14:textId="77777777" w:rsidR="00767AB9" w:rsidRDefault="00E61C26">
      <w:pPr>
        <w:spacing w:after="0" w:line="240" w:lineRule="auto"/>
      </w:pPr>
      <w:r>
        <w:separator/>
      </w:r>
    </w:p>
  </w:footnote>
  <w:footnote w:type="continuationSeparator" w:id="0">
    <w:p w14:paraId="55B5AD1C" w14:textId="77777777" w:rsidR="00767AB9" w:rsidRDefault="00E61C26">
      <w:pPr>
        <w:spacing w:after="0" w:line="240" w:lineRule="auto"/>
      </w:pPr>
      <w:r>
        <w:continuationSeparator/>
      </w:r>
    </w:p>
  </w:footnote>
  <w:footnote w:id="1">
    <w:p w14:paraId="290E3F62" w14:textId="3274B577" w:rsidR="007046FD" w:rsidRPr="001B397B" w:rsidRDefault="007046FD" w:rsidP="00A021D1">
      <w:pPr>
        <w:pStyle w:val="Lbjegyzetszveg"/>
        <w:jc w:val="both"/>
        <w:rPr>
          <w:lang w:val="en-GB"/>
        </w:rPr>
      </w:pPr>
      <w:r>
        <w:rPr>
          <w:rStyle w:val="Lbjegyzet-hivatkozs"/>
        </w:rPr>
        <w:footnoteRef/>
      </w:r>
      <w:r>
        <w:t xml:space="preserve"> </w:t>
      </w:r>
      <w:r w:rsidR="00B075CF">
        <w:rPr>
          <w:sz w:val="18"/>
          <w:szCs w:val="18"/>
          <w:lang w:val="en-GB"/>
        </w:rPr>
        <w:t>s</w:t>
      </w:r>
      <w:r w:rsidRPr="001B397B">
        <w:rPr>
          <w:sz w:val="18"/>
          <w:szCs w:val="18"/>
          <w:lang w:val="en-GB"/>
        </w:rPr>
        <w:t xml:space="preserve">pecial categories of personal data: Article 9(1) GDPR: </w:t>
      </w:r>
      <w:r w:rsidRPr="001B397B">
        <w:rPr>
          <w:color w:val="000000"/>
          <w:sz w:val="18"/>
          <w:szCs w:val="18"/>
          <w:shd w:val="clear" w:color="auto" w:fill="FFFFFF"/>
          <w:lang w:val="en-GB"/>
        </w:rPr>
        <w:t>personal data revealing racial or ethnic origin, political opinions, religious or philosophical beliefs, or trade union membership, and genetic data, biometric data for the purpose of uniquely identifying a natural person, data concerning health or data concerning a natural person's sex life or sexual orientation;</w:t>
      </w:r>
    </w:p>
  </w:footnote>
  <w:footnote w:id="2">
    <w:p w14:paraId="2EE60ED9" w14:textId="4C9BC493" w:rsidR="00260065" w:rsidRPr="001B397B" w:rsidRDefault="00260065" w:rsidP="00A021D1">
      <w:pPr>
        <w:pStyle w:val="Lbjegyzetszveg"/>
        <w:jc w:val="both"/>
        <w:rPr>
          <w:lang w:val="en-GB"/>
        </w:rPr>
      </w:pPr>
      <w:r w:rsidRPr="001B397B">
        <w:rPr>
          <w:rStyle w:val="Lbjegyzet-hivatkozs"/>
          <w:lang w:val="en-GB"/>
        </w:rPr>
        <w:footnoteRef/>
      </w:r>
      <w:r w:rsidRPr="001B397B">
        <w:rPr>
          <w:lang w:val="en-GB"/>
        </w:rPr>
        <w:t xml:space="preserve"> </w:t>
      </w:r>
      <w:r w:rsidRPr="001B397B">
        <w:rPr>
          <w:sz w:val="18"/>
          <w:szCs w:val="18"/>
          <w:lang w:val="en-GB"/>
        </w:rPr>
        <w:t>‘processor’ means a natural or legal person, public authority, agency or other body which processes personal data on behalf of the controller;</w:t>
      </w:r>
    </w:p>
  </w:footnote>
  <w:footnote w:id="3">
    <w:p w14:paraId="35C84A7A" w14:textId="046C6CB9" w:rsidR="00A94CDA" w:rsidRPr="0092110E" w:rsidRDefault="00A94CDA" w:rsidP="00A021D1">
      <w:pPr>
        <w:pStyle w:val="Lbjegyzetszveg"/>
        <w:jc w:val="both"/>
        <w:rPr>
          <w:lang w:val="en-GB"/>
        </w:rPr>
      </w:pPr>
      <w:r w:rsidRPr="001B397B">
        <w:rPr>
          <w:rStyle w:val="Lbjegyzet-hivatkozs"/>
          <w:lang w:val="en-GB"/>
        </w:rPr>
        <w:footnoteRef/>
      </w:r>
      <w:r w:rsidRPr="001B397B">
        <w:rPr>
          <w:lang w:val="en-GB"/>
        </w:rPr>
        <w:t xml:space="preserve"> </w:t>
      </w:r>
      <w:r w:rsidRPr="0092110E">
        <w:rPr>
          <w:sz w:val="18"/>
          <w:szCs w:val="18"/>
          <w:lang w:val="en-GB"/>
        </w:rPr>
        <w:t>automated decision-making: a decision based solely on automated processing, including profiling, which produces legal effects concerning the data subject or similarly significantly affects the data subject, such as automatic refusal of an online credit application or e-recruiting practices without any human intervention;</w:t>
      </w:r>
    </w:p>
  </w:footnote>
  <w:footnote w:id="4">
    <w:p w14:paraId="57FA0575" w14:textId="3E30FBE5" w:rsidR="0092110E" w:rsidRPr="0092110E" w:rsidRDefault="0092110E">
      <w:pPr>
        <w:pStyle w:val="Lbjegyzetszveg"/>
        <w:rPr>
          <w:lang w:val="en-GB"/>
        </w:rPr>
      </w:pPr>
      <w:r w:rsidRPr="0092110E">
        <w:rPr>
          <w:rStyle w:val="Lbjegyzet-hivatkozs"/>
          <w:lang w:val="en-GB"/>
        </w:rPr>
        <w:footnoteRef/>
      </w:r>
      <w:r w:rsidRPr="0092110E">
        <w:rPr>
          <w:lang w:val="en-GB"/>
        </w:rPr>
        <w:t xml:space="preserve"> </w:t>
      </w:r>
      <w:r w:rsidRPr="0023230B">
        <w:rPr>
          <w:sz w:val="18"/>
          <w:szCs w:val="18"/>
          <w:lang w:val="en-GB"/>
        </w:rPr>
        <w:t xml:space="preserve">See also </w:t>
      </w:r>
      <w:r w:rsidRPr="0092110E">
        <w:rPr>
          <w:sz w:val="18"/>
          <w:szCs w:val="18"/>
          <w:lang w:val="en-GB"/>
        </w:rPr>
        <w:t>Section 50(6) of Act CCIV of 2011 on National Higher Education</w:t>
      </w:r>
      <w:r w:rsidR="0023230B">
        <w:rPr>
          <w:sz w:val="18"/>
          <w:szCs w:val="18"/>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728"/>
    <w:multiLevelType w:val="hybridMultilevel"/>
    <w:tmpl w:val="5CCEC488"/>
    <w:lvl w:ilvl="0" w:tplc="34B2194A">
      <w:start w:val="1"/>
      <w:numFmt w:val="decimal"/>
      <w:lvlText w:val="%1."/>
      <w:lvlJc w:val="left"/>
      <w:pPr>
        <w:ind w:left="720" w:hanging="360"/>
      </w:pPr>
    </w:lvl>
    <w:lvl w:ilvl="1" w:tplc="B016C20E">
      <w:start w:val="1"/>
      <w:numFmt w:val="decimal"/>
      <w:lvlText w:val="%2."/>
      <w:lvlJc w:val="left"/>
      <w:pPr>
        <w:ind w:left="720" w:hanging="360"/>
      </w:pPr>
    </w:lvl>
    <w:lvl w:ilvl="2" w:tplc="18E20FF0">
      <w:start w:val="1"/>
      <w:numFmt w:val="decimal"/>
      <w:lvlText w:val="%3."/>
      <w:lvlJc w:val="left"/>
      <w:pPr>
        <w:ind w:left="720" w:hanging="360"/>
      </w:pPr>
    </w:lvl>
    <w:lvl w:ilvl="3" w:tplc="EA008100">
      <w:start w:val="1"/>
      <w:numFmt w:val="decimal"/>
      <w:lvlText w:val="%4."/>
      <w:lvlJc w:val="left"/>
      <w:pPr>
        <w:ind w:left="720" w:hanging="360"/>
      </w:pPr>
    </w:lvl>
    <w:lvl w:ilvl="4" w:tplc="49584B6A">
      <w:start w:val="1"/>
      <w:numFmt w:val="decimal"/>
      <w:lvlText w:val="%5."/>
      <w:lvlJc w:val="left"/>
      <w:pPr>
        <w:ind w:left="720" w:hanging="360"/>
      </w:pPr>
    </w:lvl>
    <w:lvl w:ilvl="5" w:tplc="99968162">
      <w:start w:val="1"/>
      <w:numFmt w:val="decimal"/>
      <w:lvlText w:val="%6."/>
      <w:lvlJc w:val="left"/>
      <w:pPr>
        <w:ind w:left="720" w:hanging="360"/>
      </w:pPr>
    </w:lvl>
    <w:lvl w:ilvl="6" w:tplc="0E74C0C6">
      <w:start w:val="1"/>
      <w:numFmt w:val="decimal"/>
      <w:lvlText w:val="%7."/>
      <w:lvlJc w:val="left"/>
      <w:pPr>
        <w:ind w:left="720" w:hanging="360"/>
      </w:pPr>
    </w:lvl>
    <w:lvl w:ilvl="7" w:tplc="10EA251E">
      <w:start w:val="1"/>
      <w:numFmt w:val="decimal"/>
      <w:lvlText w:val="%8."/>
      <w:lvlJc w:val="left"/>
      <w:pPr>
        <w:ind w:left="720" w:hanging="360"/>
      </w:pPr>
    </w:lvl>
    <w:lvl w:ilvl="8" w:tplc="4C107EA4">
      <w:start w:val="1"/>
      <w:numFmt w:val="decimal"/>
      <w:lvlText w:val="%9."/>
      <w:lvlJc w:val="left"/>
      <w:pPr>
        <w:ind w:left="720" w:hanging="360"/>
      </w:pPr>
    </w:lvl>
  </w:abstractNum>
  <w:abstractNum w:abstractNumId="1" w15:restartNumberingAfterBreak="0">
    <w:nsid w:val="07672D11"/>
    <w:multiLevelType w:val="multilevel"/>
    <w:tmpl w:val="59E0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D5DFF"/>
    <w:multiLevelType w:val="multilevel"/>
    <w:tmpl w:val="59E0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3752057F"/>
    <w:multiLevelType w:val="multilevel"/>
    <w:tmpl w:val="3752057F"/>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8B057A"/>
    <w:multiLevelType w:val="multilevel"/>
    <w:tmpl w:val="9280E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60"/>
    <w:rsid w:val="00011B62"/>
    <w:rsid w:val="00013855"/>
    <w:rsid w:val="00014979"/>
    <w:rsid w:val="00030ADA"/>
    <w:rsid w:val="0004154C"/>
    <w:rsid w:val="000475E0"/>
    <w:rsid w:val="000504A6"/>
    <w:rsid w:val="00050FF0"/>
    <w:rsid w:val="00052BE7"/>
    <w:rsid w:val="0005335A"/>
    <w:rsid w:val="0007456B"/>
    <w:rsid w:val="00076759"/>
    <w:rsid w:val="000814A1"/>
    <w:rsid w:val="00082023"/>
    <w:rsid w:val="000829EF"/>
    <w:rsid w:val="00082A14"/>
    <w:rsid w:val="0009454B"/>
    <w:rsid w:val="0009684D"/>
    <w:rsid w:val="000A50FC"/>
    <w:rsid w:val="000A78D0"/>
    <w:rsid w:val="000B3940"/>
    <w:rsid w:val="000B4BFC"/>
    <w:rsid w:val="000B5A50"/>
    <w:rsid w:val="000C15E1"/>
    <w:rsid w:val="000C1F75"/>
    <w:rsid w:val="000C21E3"/>
    <w:rsid w:val="000C680B"/>
    <w:rsid w:val="000C694D"/>
    <w:rsid w:val="000D43F5"/>
    <w:rsid w:val="000E3DD2"/>
    <w:rsid w:val="000E75F7"/>
    <w:rsid w:val="000F439E"/>
    <w:rsid w:val="00107C04"/>
    <w:rsid w:val="0011452D"/>
    <w:rsid w:val="00123DD8"/>
    <w:rsid w:val="00135350"/>
    <w:rsid w:val="001367F4"/>
    <w:rsid w:val="00136B54"/>
    <w:rsid w:val="00147F44"/>
    <w:rsid w:val="001545A2"/>
    <w:rsid w:val="00157AAB"/>
    <w:rsid w:val="00164B6A"/>
    <w:rsid w:val="001665F6"/>
    <w:rsid w:val="00166B2C"/>
    <w:rsid w:val="00172281"/>
    <w:rsid w:val="00173BF0"/>
    <w:rsid w:val="00174F60"/>
    <w:rsid w:val="00176827"/>
    <w:rsid w:val="00183724"/>
    <w:rsid w:val="00184B09"/>
    <w:rsid w:val="00194750"/>
    <w:rsid w:val="001A2612"/>
    <w:rsid w:val="001A509C"/>
    <w:rsid w:val="001A6622"/>
    <w:rsid w:val="001B397B"/>
    <w:rsid w:val="001B669E"/>
    <w:rsid w:val="001C2485"/>
    <w:rsid w:val="001C300D"/>
    <w:rsid w:val="001D2C81"/>
    <w:rsid w:val="001D380A"/>
    <w:rsid w:val="001D44A7"/>
    <w:rsid w:val="001F34AC"/>
    <w:rsid w:val="001F3B27"/>
    <w:rsid w:val="00200A3F"/>
    <w:rsid w:val="00210E98"/>
    <w:rsid w:val="00216A25"/>
    <w:rsid w:val="0022041C"/>
    <w:rsid w:val="00221E9B"/>
    <w:rsid w:val="00224264"/>
    <w:rsid w:val="0022454C"/>
    <w:rsid w:val="002307EE"/>
    <w:rsid w:val="0023230B"/>
    <w:rsid w:val="0023705F"/>
    <w:rsid w:val="002403A7"/>
    <w:rsid w:val="00240871"/>
    <w:rsid w:val="002440F0"/>
    <w:rsid w:val="00254569"/>
    <w:rsid w:val="0025493E"/>
    <w:rsid w:val="00260065"/>
    <w:rsid w:val="002604B6"/>
    <w:rsid w:val="0026065A"/>
    <w:rsid w:val="00272284"/>
    <w:rsid w:val="002B2DAE"/>
    <w:rsid w:val="002B51C8"/>
    <w:rsid w:val="002B5BCA"/>
    <w:rsid w:val="002D5285"/>
    <w:rsid w:val="002F5BFF"/>
    <w:rsid w:val="002F6FE3"/>
    <w:rsid w:val="00302E55"/>
    <w:rsid w:val="00310AAC"/>
    <w:rsid w:val="00311615"/>
    <w:rsid w:val="003129E7"/>
    <w:rsid w:val="0032037D"/>
    <w:rsid w:val="00321488"/>
    <w:rsid w:val="00354CD0"/>
    <w:rsid w:val="00361BB5"/>
    <w:rsid w:val="00363D77"/>
    <w:rsid w:val="00372D88"/>
    <w:rsid w:val="00382162"/>
    <w:rsid w:val="00393C1D"/>
    <w:rsid w:val="00393C53"/>
    <w:rsid w:val="003A1BC1"/>
    <w:rsid w:val="003A291B"/>
    <w:rsid w:val="003A57CC"/>
    <w:rsid w:val="003C0197"/>
    <w:rsid w:val="003C66FF"/>
    <w:rsid w:val="003C6C5A"/>
    <w:rsid w:val="003D579F"/>
    <w:rsid w:val="003E1946"/>
    <w:rsid w:val="003F748E"/>
    <w:rsid w:val="00410D4D"/>
    <w:rsid w:val="0042109D"/>
    <w:rsid w:val="00426615"/>
    <w:rsid w:val="00426D2F"/>
    <w:rsid w:val="00434F20"/>
    <w:rsid w:val="004360E0"/>
    <w:rsid w:val="00442472"/>
    <w:rsid w:val="00445912"/>
    <w:rsid w:val="004522B1"/>
    <w:rsid w:val="004552FA"/>
    <w:rsid w:val="00456736"/>
    <w:rsid w:val="004673AD"/>
    <w:rsid w:val="00471551"/>
    <w:rsid w:val="004757E4"/>
    <w:rsid w:val="00482B7F"/>
    <w:rsid w:val="0048452C"/>
    <w:rsid w:val="00491233"/>
    <w:rsid w:val="00493298"/>
    <w:rsid w:val="00494303"/>
    <w:rsid w:val="004A0FCB"/>
    <w:rsid w:val="004A1F84"/>
    <w:rsid w:val="004A4AFA"/>
    <w:rsid w:val="004B303D"/>
    <w:rsid w:val="004B423E"/>
    <w:rsid w:val="004B477D"/>
    <w:rsid w:val="004C44C4"/>
    <w:rsid w:val="004C6060"/>
    <w:rsid w:val="004C7A09"/>
    <w:rsid w:val="004D6A20"/>
    <w:rsid w:val="004E326B"/>
    <w:rsid w:val="004E5491"/>
    <w:rsid w:val="004E66DA"/>
    <w:rsid w:val="004F4498"/>
    <w:rsid w:val="00501AF9"/>
    <w:rsid w:val="00504914"/>
    <w:rsid w:val="00506C29"/>
    <w:rsid w:val="00515672"/>
    <w:rsid w:val="0052475A"/>
    <w:rsid w:val="0052718D"/>
    <w:rsid w:val="005336A4"/>
    <w:rsid w:val="005353D4"/>
    <w:rsid w:val="00537F6B"/>
    <w:rsid w:val="005576DF"/>
    <w:rsid w:val="00562A3D"/>
    <w:rsid w:val="0056556D"/>
    <w:rsid w:val="005728E3"/>
    <w:rsid w:val="00574018"/>
    <w:rsid w:val="00575624"/>
    <w:rsid w:val="00576BB9"/>
    <w:rsid w:val="00590DB6"/>
    <w:rsid w:val="005957DE"/>
    <w:rsid w:val="005A15BB"/>
    <w:rsid w:val="005A4804"/>
    <w:rsid w:val="005A6980"/>
    <w:rsid w:val="005E08FB"/>
    <w:rsid w:val="005E3E23"/>
    <w:rsid w:val="005E4D65"/>
    <w:rsid w:val="005F03A1"/>
    <w:rsid w:val="005F1BBB"/>
    <w:rsid w:val="005F5CA9"/>
    <w:rsid w:val="00600523"/>
    <w:rsid w:val="0060690C"/>
    <w:rsid w:val="006141E2"/>
    <w:rsid w:val="006244EE"/>
    <w:rsid w:val="00631295"/>
    <w:rsid w:val="00642770"/>
    <w:rsid w:val="006461C1"/>
    <w:rsid w:val="00646D5D"/>
    <w:rsid w:val="00655E90"/>
    <w:rsid w:val="00682A42"/>
    <w:rsid w:val="00686F75"/>
    <w:rsid w:val="006942AC"/>
    <w:rsid w:val="006A5571"/>
    <w:rsid w:val="006A726C"/>
    <w:rsid w:val="006B576A"/>
    <w:rsid w:val="006D44EE"/>
    <w:rsid w:val="006E179B"/>
    <w:rsid w:val="006E3CCA"/>
    <w:rsid w:val="006F3E96"/>
    <w:rsid w:val="006F5554"/>
    <w:rsid w:val="00700116"/>
    <w:rsid w:val="007046FD"/>
    <w:rsid w:val="00705D3F"/>
    <w:rsid w:val="00705D5D"/>
    <w:rsid w:val="007134B0"/>
    <w:rsid w:val="007136D4"/>
    <w:rsid w:val="00715B9B"/>
    <w:rsid w:val="007411C5"/>
    <w:rsid w:val="0075489D"/>
    <w:rsid w:val="0075550D"/>
    <w:rsid w:val="007557D8"/>
    <w:rsid w:val="0075690F"/>
    <w:rsid w:val="00760AA2"/>
    <w:rsid w:val="0076156B"/>
    <w:rsid w:val="00767AB9"/>
    <w:rsid w:val="00774D83"/>
    <w:rsid w:val="00784075"/>
    <w:rsid w:val="007869B6"/>
    <w:rsid w:val="00794575"/>
    <w:rsid w:val="00795ED0"/>
    <w:rsid w:val="00797570"/>
    <w:rsid w:val="007A0458"/>
    <w:rsid w:val="007B0CAB"/>
    <w:rsid w:val="007B11DA"/>
    <w:rsid w:val="007B61EB"/>
    <w:rsid w:val="007C2773"/>
    <w:rsid w:val="007D128D"/>
    <w:rsid w:val="007D4D71"/>
    <w:rsid w:val="007E4986"/>
    <w:rsid w:val="007F33DF"/>
    <w:rsid w:val="00810374"/>
    <w:rsid w:val="008104C4"/>
    <w:rsid w:val="00821776"/>
    <w:rsid w:val="00823BFB"/>
    <w:rsid w:val="00831ECD"/>
    <w:rsid w:val="00834442"/>
    <w:rsid w:val="00844F3C"/>
    <w:rsid w:val="008546C5"/>
    <w:rsid w:val="0085776A"/>
    <w:rsid w:val="00857939"/>
    <w:rsid w:val="00862D6B"/>
    <w:rsid w:val="00866679"/>
    <w:rsid w:val="00885D9B"/>
    <w:rsid w:val="00887828"/>
    <w:rsid w:val="00897C95"/>
    <w:rsid w:val="008C09B1"/>
    <w:rsid w:val="008C2317"/>
    <w:rsid w:val="008C6314"/>
    <w:rsid w:val="008D1250"/>
    <w:rsid w:val="008D2A4C"/>
    <w:rsid w:val="008E153B"/>
    <w:rsid w:val="008E2601"/>
    <w:rsid w:val="008E34C8"/>
    <w:rsid w:val="008F3ED9"/>
    <w:rsid w:val="009004F8"/>
    <w:rsid w:val="00907F69"/>
    <w:rsid w:val="00914026"/>
    <w:rsid w:val="0092110E"/>
    <w:rsid w:val="009259B3"/>
    <w:rsid w:val="00930D06"/>
    <w:rsid w:val="00932E39"/>
    <w:rsid w:val="00934B9A"/>
    <w:rsid w:val="009531A8"/>
    <w:rsid w:val="009547B5"/>
    <w:rsid w:val="009618FE"/>
    <w:rsid w:val="00965D79"/>
    <w:rsid w:val="0098106B"/>
    <w:rsid w:val="00981F55"/>
    <w:rsid w:val="00991B7F"/>
    <w:rsid w:val="009A1212"/>
    <w:rsid w:val="009A47B9"/>
    <w:rsid w:val="009B1971"/>
    <w:rsid w:val="009B2F71"/>
    <w:rsid w:val="009B5874"/>
    <w:rsid w:val="009C057D"/>
    <w:rsid w:val="009D3F44"/>
    <w:rsid w:val="009D56F3"/>
    <w:rsid w:val="009F01C5"/>
    <w:rsid w:val="00A021D1"/>
    <w:rsid w:val="00A052A0"/>
    <w:rsid w:val="00A07824"/>
    <w:rsid w:val="00A14311"/>
    <w:rsid w:val="00A22249"/>
    <w:rsid w:val="00A24143"/>
    <w:rsid w:val="00A27248"/>
    <w:rsid w:val="00A316F1"/>
    <w:rsid w:val="00A45156"/>
    <w:rsid w:val="00A534E6"/>
    <w:rsid w:val="00A569D9"/>
    <w:rsid w:val="00A637B2"/>
    <w:rsid w:val="00A72CE9"/>
    <w:rsid w:val="00A741F2"/>
    <w:rsid w:val="00A744E9"/>
    <w:rsid w:val="00A7725B"/>
    <w:rsid w:val="00A879B7"/>
    <w:rsid w:val="00A94CDA"/>
    <w:rsid w:val="00AA14DF"/>
    <w:rsid w:val="00AB1E98"/>
    <w:rsid w:val="00AC4592"/>
    <w:rsid w:val="00AD30A4"/>
    <w:rsid w:val="00AF250A"/>
    <w:rsid w:val="00AF2920"/>
    <w:rsid w:val="00AF3C79"/>
    <w:rsid w:val="00B03DBE"/>
    <w:rsid w:val="00B04AF5"/>
    <w:rsid w:val="00B075CF"/>
    <w:rsid w:val="00B122FE"/>
    <w:rsid w:val="00B16228"/>
    <w:rsid w:val="00B17AAC"/>
    <w:rsid w:val="00B21BC0"/>
    <w:rsid w:val="00B21FEB"/>
    <w:rsid w:val="00B257CE"/>
    <w:rsid w:val="00B34114"/>
    <w:rsid w:val="00B53ECB"/>
    <w:rsid w:val="00B554DC"/>
    <w:rsid w:val="00B572F5"/>
    <w:rsid w:val="00B5789C"/>
    <w:rsid w:val="00B57A25"/>
    <w:rsid w:val="00B61906"/>
    <w:rsid w:val="00B80C2A"/>
    <w:rsid w:val="00B81E2F"/>
    <w:rsid w:val="00B90F3B"/>
    <w:rsid w:val="00B938EE"/>
    <w:rsid w:val="00B95E3F"/>
    <w:rsid w:val="00BA1F25"/>
    <w:rsid w:val="00BA298C"/>
    <w:rsid w:val="00BC6A8B"/>
    <w:rsid w:val="00BC6C86"/>
    <w:rsid w:val="00BD0317"/>
    <w:rsid w:val="00BD2EDF"/>
    <w:rsid w:val="00BD6C6B"/>
    <w:rsid w:val="00BE0EC9"/>
    <w:rsid w:val="00BE1020"/>
    <w:rsid w:val="00BE4554"/>
    <w:rsid w:val="00BF549E"/>
    <w:rsid w:val="00BF5800"/>
    <w:rsid w:val="00BF78AC"/>
    <w:rsid w:val="00BF7E6E"/>
    <w:rsid w:val="00C004E0"/>
    <w:rsid w:val="00C22BBB"/>
    <w:rsid w:val="00C2425B"/>
    <w:rsid w:val="00C24D7B"/>
    <w:rsid w:val="00C308AB"/>
    <w:rsid w:val="00C35D09"/>
    <w:rsid w:val="00C429A7"/>
    <w:rsid w:val="00C44F89"/>
    <w:rsid w:val="00C522E8"/>
    <w:rsid w:val="00C53C9A"/>
    <w:rsid w:val="00C54CA2"/>
    <w:rsid w:val="00C557BA"/>
    <w:rsid w:val="00C60F2A"/>
    <w:rsid w:val="00C61C71"/>
    <w:rsid w:val="00C6418F"/>
    <w:rsid w:val="00C65CBB"/>
    <w:rsid w:val="00C67799"/>
    <w:rsid w:val="00C720F5"/>
    <w:rsid w:val="00C76775"/>
    <w:rsid w:val="00C811C7"/>
    <w:rsid w:val="00C8185F"/>
    <w:rsid w:val="00C9436E"/>
    <w:rsid w:val="00C97A2C"/>
    <w:rsid w:val="00CA3981"/>
    <w:rsid w:val="00CC6F5A"/>
    <w:rsid w:val="00CD3CB9"/>
    <w:rsid w:val="00CD4C6D"/>
    <w:rsid w:val="00CD7A7D"/>
    <w:rsid w:val="00CE391C"/>
    <w:rsid w:val="00CE3F35"/>
    <w:rsid w:val="00CE6C81"/>
    <w:rsid w:val="00D039C7"/>
    <w:rsid w:val="00D10F7C"/>
    <w:rsid w:val="00D1169C"/>
    <w:rsid w:val="00D16C26"/>
    <w:rsid w:val="00D1794F"/>
    <w:rsid w:val="00D211AD"/>
    <w:rsid w:val="00D3136C"/>
    <w:rsid w:val="00D318AE"/>
    <w:rsid w:val="00D323B0"/>
    <w:rsid w:val="00D33EEF"/>
    <w:rsid w:val="00D468EF"/>
    <w:rsid w:val="00D5176D"/>
    <w:rsid w:val="00D576C8"/>
    <w:rsid w:val="00D61CF4"/>
    <w:rsid w:val="00D630FD"/>
    <w:rsid w:val="00D66E2C"/>
    <w:rsid w:val="00D81055"/>
    <w:rsid w:val="00D90984"/>
    <w:rsid w:val="00D90DF1"/>
    <w:rsid w:val="00D91138"/>
    <w:rsid w:val="00DA36ED"/>
    <w:rsid w:val="00DB0364"/>
    <w:rsid w:val="00DB4C22"/>
    <w:rsid w:val="00DC57E6"/>
    <w:rsid w:val="00DD0C97"/>
    <w:rsid w:val="00DD3163"/>
    <w:rsid w:val="00DD39D5"/>
    <w:rsid w:val="00DD5B4B"/>
    <w:rsid w:val="00DE0C8B"/>
    <w:rsid w:val="00DE255B"/>
    <w:rsid w:val="00DE768E"/>
    <w:rsid w:val="00DF3E53"/>
    <w:rsid w:val="00E05B1E"/>
    <w:rsid w:val="00E16989"/>
    <w:rsid w:val="00E20330"/>
    <w:rsid w:val="00E21D54"/>
    <w:rsid w:val="00E27C8C"/>
    <w:rsid w:val="00E3194E"/>
    <w:rsid w:val="00E44F84"/>
    <w:rsid w:val="00E4557E"/>
    <w:rsid w:val="00E53122"/>
    <w:rsid w:val="00E561D4"/>
    <w:rsid w:val="00E61798"/>
    <w:rsid w:val="00E61C26"/>
    <w:rsid w:val="00E65422"/>
    <w:rsid w:val="00E728E3"/>
    <w:rsid w:val="00E769AD"/>
    <w:rsid w:val="00E90EB7"/>
    <w:rsid w:val="00EA2AFF"/>
    <w:rsid w:val="00EA4309"/>
    <w:rsid w:val="00EA5B81"/>
    <w:rsid w:val="00EC063D"/>
    <w:rsid w:val="00EC6470"/>
    <w:rsid w:val="00ED0E03"/>
    <w:rsid w:val="00ED5962"/>
    <w:rsid w:val="00ED6DE0"/>
    <w:rsid w:val="00EE2A78"/>
    <w:rsid w:val="00EE6AC5"/>
    <w:rsid w:val="00F012B7"/>
    <w:rsid w:val="00F05C94"/>
    <w:rsid w:val="00F0675E"/>
    <w:rsid w:val="00F06D45"/>
    <w:rsid w:val="00F22497"/>
    <w:rsid w:val="00F225F2"/>
    <w:rsid w:val="00F25F38"/>
    <w:rsid w:val="00F26E9B"/>
    <w:rsid w:val="00F2767C"/>
    <w:rsid w:val="00F3703D"/>
    <w:rsid w:val="00F47985"/>
    <w:rsid w:val="00F510E0"/>
    <w:rsid w:val="00F726E0"/>
    <w:rsid w:val="00F72D2D"/>
    <w:rsid w:val="00F76F6C"/>
    <w:rsid w:val="00F8318E"/>
    <w:rsid w:val="00FB0033"/>
    <w:rsid w:val="00FB3AE6"/>
    <w:rsid w:val="00FB4ECA"/>
    <w:rsid w:val="00FB5DE5"/>
    <w:rsid w:val="00FC6AE7"/>
    <w:rsid w:val="00FE4258"/>
    <w:rsid w:val="00FE42AB"/>
    <w:rsid w:val="00FE7650"/>
    <w:rsid w:val="00FF2027"/>
    <w:rsid w:val="1CBA7A56"/>
    <w:rsid w:val="39EC1B24"/>
    <w:rsid w:val="5196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DDBB"/>
  <w15:docId w15:val="{F548C1AE-37BC-4963-AF77-0904EF14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unhideWhenUsed/>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Pr>
      <w:b/>
      <w:bCs/>
    </w:rPr>
  </w:style>
  <w:style w:type="paragraph" w:styleId="llb">
    <w:name w:val="footer"/>
    <w:basedOn w:val="Norml"/>
    <w:link w:val="llbChar"/>
    <w:uiPriority w:val="99"/>
    <w:unhideWhenUsed/>
    <w:pPr>
      <w:tabs>
        <w:tab w:val="center" w:pos="4703"/>
        <w:tab w:val="right" w:pos="9406"/>
      </w:tabs>
      <w:spacing w:after="0" w:line="240" w:lineRule="auto"/>
    </w:pPr>
  </w:style>
  <w:style w:type="character" w:styleId="Lbjegyzet-hivatkozs">
    <w:name w:val="footnote reference"/>
    <w:uiPriority w:val="99"/>
    <w:semiHidden/>
    <w:qFormat/>
    <w:rPr>
      <w:vertAlign w:val="superscript"/>
    </w:rPr>
  </w:style>
  <w:style w:type="paragraph" w:styleId="Lbjegyzetszveg">
    <w:name w:val="footnote text"/>
    <w:basedOn w:val="Norml"/>
    <w:link w:val="LbjegyzetszvegChar"/>
    <w:uiPriority w:val="99"/>
    <w:semiHidden/>
    <w:qFormat/>
    <w:pPr>
      <w:spacing w:after="0" w:line="240" w:lineRule="auto"/>
    </w:pPr>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qFormat/>
    <w:pPr>
      <w:tabs>
        <w:tab w:val="center" w:pos="4703"/>
        <w:tab w:val="right" w:pos="9406"/>
      </w:tabs>
      <w:spacing w:after="0" w:line="240" w:lineRule="auto"/>
    </w:pPr>
  </w:style>
  <w:style w:type="character" w:styleId="Hiperhivatkozs">
    <w:name w:val="Hyperlink"/>
    <w:basedOn w:val="Bekezdsalapbettpusa"/>
    <w:uiPriority w:val="99"/>
    <w:unhideWhenUsed/>
    <w:qFormat/>
    <w:rPr>
      <w:color w:val="0000FF" w:themeColor="hyperlink"/>
      <w:u w:val="single"/>
    </w:rPr>
  </w:style>
  <w:style w:type="paragraph" w:styleId="NormlWeb">
    <w:name w:val="Normal (Web)"/>
    <w:basedOn w:val="Norml"/>
    <w:uiPriority w:val="99"/>
    <w:unhideWhenUsed/>
    <w:qFormat/>
    <w:pPr>
      <w:spacing w:after="20" w:line="240" w:lineRule="auto"/>
      <w:ind w:firstLine="180"/>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pPr>
      <w:ind w:left="720"/>
      <w:contextualSpacing/>
    </w:pPr>
  </w:style>
  <w:style w:type="paragraph" w:customStyle="1" w:styleId="Default">
    <w:name w:val="Default"/>
    <w:uiPriority w:val="99"/>
    <w:qFormat/>
    <w:pPr>
      <w:autoSpaceDE w:val="0"/>
      <w:autoSpaceDN w:val="0"/>
      <w:adjustRightInd w:val="0"/>
    </w:pPr>
    <w:rPr>
      <w:rFonts w:ascii="Century Gothic" w:hAnsi="Century Gothic" w:cs="Century Gothic"/>
      <w:color w:val="000000"/>
      <w:sz w:val="24"/>
      <w:szCs w:val="24"/>
      <w:lang w:eastAsia="en-US"/>
    </w:rPr>
  </w:style>
  <w:style w:type="paragraph" w:customStyle="1" w:styleId="doc-ti">
    <w:name w:val="doc-ti"/>
    <w:basedOn w:val="Norm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val="hu-HU" w:eastAsia="hu-HU"/>
    </w:rPr>
  </w:style>
  <w:style w:type="paragraph" w:customStyle="1" w:styleId="Norml1">
    <w:name w:val="Normál1"/>
    <w:basedOn w:val="Norm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lang w:val="hu-HU"/>
    </w:rPr>
  </w:style>
  <w:style w:type="character" w:customStyle="1" w:styleId="JegyzetszvegChar">
    <w:name w:val="Jegyzetszöveg Char"/>
    <w:basedOn w:val="Bekezdsalapbettpusa"/>
    <w:link w:val="Jegyzetszveg"/>
    <w:uiPriority w:val="99"/>
    <w:qFormat/>
    <w:rPr>
      <w:sz w:val="20"/>
      <w:szCs w:val="20"/>
      <w:lang w:val="hu-HU"/>
    </w:rPr>
  </w:style>
  <w:style w:type="character" w:customStyle="1" w:styleId="MegjegyzstrgyaChar">
    <w:name w:val="Megjegyzés tárgya Char"/>
    <w:basedOn w:val="JegyzetszvegChar"/>
    <w:link w:val="Megjegyzstrgya"/>
    <w:uiPriority w:val="99"/>
    <w:semiHidden/>
    <w:qFormat/>
    <w:rPr>
      <w:b/>
      <w:bCs/>
      <w:sz w:val="20"/>
      <w:szCs w:val="20"/>
      <w:lang w:val="hu-HU"/>
    </w:rPr>
  </w:style>
  <w:style w:type="character" w:customStyle="1" w:styleId="BuborkszvegChar">
    <w:name w:val="Buborékszöveg Char"/>
    <w:basedOn w:val="Bekezdsalapbettpusa"/>
    <w:link w:val="Buborkszveg"/>
    <w:uiPriority w:val="99"/>
    <w:semiHidden/>
    <w:qFormat/>
    <w:rPr>
      <w:rFonts w:ascii="Tahoma" w:hAnsi="Tahoma" w:cs="Tahoma"/>
      <w:sz w:val="16"/>
      <w:szCs w:val="16"/>
      <w:lang w:val="hu-HU"/>
    </w:rPr>
  </w:style>
  <w:style w:type="paragraph" w:customStyle="1" w:styleId="Vltozat1">
    <w:name w:val="Változat1"/>
    <w:hidden/>
    <w:uiPriority w:val="99"/>
    <w:semiHidden/>
    <w:qFormat/>
    <w:rPr>
      <w:sz w:val="22"/>
      <w:szCs w:val="22"/>
      <w:lang w:eastAsia="en-US"/>
    </w:rPr>
  </w:style>
  <w:style w:type="character" w:customStyle="1" w:styleId="lfejChar">
    <w:name w:val="Élőfej Char"/>
    <w:basedOn w:val="Bekezdsalapbettpusa"/>
    <w:link w:val="lfej"/>
    <w:uiPriority w:val="99"/>
    <w:qFormat/>
    <w:rPr>
      <w:lang w:val="hu-HU"/>
    </w:rPr>
  </w:style>
  <w:style w:type="character" w:customStyle="1" w:styleId="llbChar">
    <w:name w:val="Élőláb Char"/>
    <w:basedOn w:val="Bekezdsalapbettpusa"/>
    <w:link w:val="llb"/>
    <w:uiPriority w:val="99"/>
    <w:qFormat/>
    <w:rPr>
      <w:lang w:val="hu-HU"/>
    </w:rPr>
  </w:style>
  <w:style w:type="character" w:customStyle="1" w:styleId="Feloldatlanmegemlts1">
    <w:name w:val="Feloldatlan megemlítés1"/>
    <w:basedOn w:val="Bekezdsalapbettpusa"/>
    <w:uiPriority w:val="99"/>
    <w:semiHidden/>
    <w:unhideWhenUsed/>
    <w:rsid w:val="00107C04"/>
    <w:rPr>
      <w:color w:val="605E5C"/>
      <w:shd w:val="clear" w:color="auto" w:fill="E1DFDD"/>
    </w:rPr>
  </w:style>
  <w:style w:type="character" w:customStyle="1" w:styleId="ui-provider">
    <w:name w:val="ui-provider"/>
    <w:basedOn w:val="Bekezdsalapbettpusa"/>
    <w:rsid w:val="00184B09"/>
  </w:style>
  <w:style w:type="paragraph" w:styleId="Vltozat">
    <w:name w:val="Revision"/>
    <w:hidden/>
    <w:uiPriority w:val="99"/>
    <w:semiHidden/>
    <w:rsid w:val="00866679"/>
    <w:rPr>
      <w:sz w:val="22"/>
      <w:szCs w:val="22"/>
      <w:lang w:eastAsia="en-US"/>
    </w:rPr>
  </w:style>
  <w:style w:type="character" w:customStyle="1" w:styleId="cf01">
    <w:name w:val="cf01"/>
    <w:basedOn w:val="Bekezdsalapbettpusa"/>
    <w:rsid w:val="00F3703D"/>
    <w:rPr>
      <w:rFonts w:ascii="Segoe UI" w:hAnsi="Segoe UI" w:cs="Segoe UI" w:hint="default"/>
      <w:sz w:val="18"/>
      <w:szCs w:val="18"/>
    </w:rPr>
  </w:style>
  <w:style w:type="character" w:styleId="Feloldatlanmegemlts">
    <w:name w:val="Unresolved Mention"/>
    <w:basedOn w:val="Bekezdsalapbettpusa"/>
    <w:uiPriority w:val="99"/>
    <w:semiHidden/>
    <w:unhideWhenUsed/>
    <w:rsid w:val="00A22249"/>
    <w:rPr>
      <w:color w:val="605E5C"/>
      <w:shd w:val="clear" w:color="auto" w:fill="E1DFDD"/>
    </w:rPr>
  </w:style>
  <w:style w:type="character" w:styleId="Mrltotthiperhivatkozs">
    <w:name w:val="FollowedHyperlink"/>
    <w:basedOn w:val="Bekezdsalapbettpusa"/>
    <w:uiPriority w:val="99"/>
    <w:semiHidden/>
    <w:unhideWhenUsed/>
    <w:rsid w:val="00C60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78432">
      <w:bodyDiv w:val="1"/>
      <w:marLeft w:val="0"/>
      <w:marRight w:val="0"/>
      <w:marTop w:val="0"/>
      <w:marBottom w:val="0"/>
      <w:divBdr>
        <w:top w:val="none" w:sz="0" w:space="0" w:color="auto"/>
        <w:left w:val="none" w:sz="0" w:space="0" w:color="auto"/>
        <w:bottom w:val="none" w:sz="0" w:space="0" w:color="auto"/>
        <w:right w:val="none" w:sz="0" w:space="0" w:color="auto"/>
      </w:divBdr>
    </w:div>
    <w:div w:id="164115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ataprotection@elte.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atvedelem.elte.hu/rightsofdatasubjec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itadmin@lib.elte.hu" TargetMode="External"/><Relationship Id="rId4" Type="http://schemas.openxmlformats.org/officeDocument/2006/relationships/styles" Target="styles.xml"/><Relationship Id="rId9" Type="http://schemas.openxmlformats.org/officeDocument/2006/relationships/hyperlink" Target="https://www.elte.hu/en/faculty-administration-offices"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9D36039-3B4B-4774-B834-8CBF545970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958</Words>
  <Characters>6618</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Lengyel Ágnes</cp:lastModifiedBy>
  <cp:revision>31</cp:revision>
  <dcterms:created xsi:type="dcterms:W3CDTF">2024-09-02T11:34:00Z</dcterms:created>
  <dcterms:modified xsi:type="dcterms:W3CDTF">2025-03-18T12:43:00Z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