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hu-HU" w:eastAsia="hu-HU"/>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hu-HU" w:eastAsia="hu-HU"/>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hivatkozs"/>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hivatkozs"/>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hivatkozs"/>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hivatkozs"/>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csostblza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50EAD1A5" w:rsidR="00E4761F" w:rsidRPr="0071730C" w:rsidRDefault="0071730C"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w:t>
            </w: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5C618DCA" w:rsidR="008667EB" w:rsidRDefault="008667EB" w:rsidP="003E0C23">
      <w:pPr>
        <w:spacing w:after="120" w:line="240" w:lineRule="auto"/>
        <w:ind w:right="28"/>
        <w:jc w:val="center"/>
        <w:rPr>
          <w:rFonts w:ascii="Verdana" w:eastAsia="Times New Roman" w:hAnsi="Verdana" w:cs="Arial"/>
          <w:b/>
          <w:color w:val="002060"/>
          <w:sz w:val="28"/>
          <w:szCs w:val="36"/>
        </w:rPr>
      </w:pPr>
    </w:p>
    <w:p w14:paraId="22748416" w14:textId="77777777" w:rsidR="000B6B4A" w:rsidRDefault="000B6B4A" w:rsidP="000B6B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csostblzat"/>
        <w:tblW w:w="11199" w:type="dxa"/>
        <w:tblInd w:w="-318" w:type="dxa"/>
        <w:tblLook w:val="04A0" w:firstRow="1" w:lastRow="0" w:firstColumn="1" w:lastColumn="0" w:noHBand="0" w:noVBand="1"/>
      </w:tblPr>
      <w:tblGrid>
        <w:gridCol w:w="6380"/>
        <w:gridCol w:w="4819"/>
      </w:tblGrid>
      <w:tr w:rsidR="000B6B4A" w14:paraId="46BE44E0" w14:textId="77777777" w:rsidTr="00F13A57">
        <w:tc>
          <w:tcPr>
            <w:tcW w:w="6380" w:type="dxa"/>
            <w:shd w:val="clear" w:color="auto" w:fill="D5DCE4" w:themeFill="text2" w:themeFillTint="33"/>
          </w:tcPr>
          <w:p w14:paraId="6AFC04D9" w14:textId="77777777" w:rsidR="000B6B4A" w:rsidRPr="008667EB" w:rsidRDefault="000B6B4A" w:rsidP="00F13A57">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6152F643" w14:textId="77777777" w:rsidR="000B6B4A" w:rsidRPr="008667EB" w:rsidRDefault="000B6B4A" w:rsidP="00F13A57">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0B6B4A" w14:paraId="749A63F2" w14:textId="77777777" w:rsidTr="00F13A57">
        <w:trPr>
          <w:trHeight w:val="1173"/>
        </w:trPr>
        <w:tc>
          <w:tcPr>
            <w:tcW w:w="6380" w:type="dxa"/>
          </w:tcPr>
          <w:p w14:paraId="0C652BBB" w14:textId="77777777" w:rsidR="000B6B4A" w:rsidRPr="00236998" w:rsidRDefault="000B6B4A" w:rsidP="00F13A57">
            <w:pPr>
              <w:spacing w:after="0" w:line="360" w:lineRule="auto"/>
              <w:rPr>
                <w:rFonts w:ascii="Calibri" w:eastAsia="Times New Roman" w:hAnsi="Calibri" w:cs="Times New Roman"/>
                <w:iCs/>
                <w:color w:val="000000"/>
                <w:sz w:val="16"/>
                <w:szCs w:val="16"/>
                <w:lang w:val="en-GB" w:eastAsia="en-GB"/>
              </w:rPr>
            </w:pPr>
          </w:p>
          <w:p w14:paraId="204B5D0F" w14:textId="77777777" w:rsidR="000B6B4A" w:rsidRPr="008667EB" w:rsidRDefault="000B6B4A" w:rsidP="00F13A57">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063DBDCD" w14:textId="77777777" w:rsidR="000B6B4A" w:rsidRPr="008667EB" w:rsidRDefault="000B6B4A" w:rsidP="00F13A57">
            <w:pPr>
              <w:pStyle w:val="Listaszerbekezds"/>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Pr>
                <w:rFonts w:ascii="Calibri" w:eastAsia="Times New Roman" w:hAnsi="Calibri" w:cs="Times New Roman"/>
                <w:iCs/>
                <w:color w:val="000000"/>
                <w:sz w:val="16"/>
                <w:szCs w:val="16"/>
                <w:lang w:val="en-GB" w:eastAsia="en-GB"/>
              </w:rPr>
              <w:t xml:space="preserve"> with short-term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09A7218A" w14:textId="77777777" w:rsidR="000B6B4A" w:rsidRPr="008667EB" w:rsidRDefault="000B6B4A" w:rsidP="00F13A57">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6BBE6A38" w14:textId="77777777" w:rsidR="000B6B4A" w:rsidRDefault="000B6B4A" w:rsidP="00F13A57">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02FDE44D" w14:textId="77777777" w:rsidR="000B6B4A" w:rsidRPr="00236998" w:rsidRDefault="000B6B4A" w:rsidP="00F13A57">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612C1E7C" w14:textId="77777777" w:rsidR="000B6B4A" w:rsidRPr="009A1854" w:rsidRDefault="000B6B4A" w:rsidP="00F13A57">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B6B4A" w14:paraId="30C56693" w14:textId="77777777" w:rsidTr="00F13A57">
        <w:trPr>
          <w:trHeight w:val="198"/>
        </w:trPr>
        <w:tc>
          <w:tcPr>
            <w:tcW w:w="11199" w:type="dxa"/>
            <w:gridSpan w:val="2"/>
            <w:shd w:val="clear" w:color="auto" w:fill="002060"/>
          </w:tcPr>
          <w:p w14:paraId="61F93725" w14:textId="77777777" w:rsidR="000B6B4A" w:rsidRPr="00174F66" w:rsidRDefault="000B6B4A" w:rsidP="00F13A57">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sending and receiving institution.</w:t>
            </w:r>
          </w:p>
        </w:tc>
      </w:tr>
    </w:tbl>
    <w:p w14:paraId="258961AA" w14:textId="77777777" w:rsidR="000B6B4A" w:rsidRPr="009B606A" w:rsidRDefault="000B6B4A" w:rsidP="003E0C23">
      <w:pPr>
        <w:spacing w:after="120" w:line="240" w:lineRule="auto"/>
        <w:ind w:right="28"/>
        <w:jc w:val="center"/>
        <w:rPr>
          <w:rFonts w:ascii="Verdana" w:eastAsia="Times New Roman" w:hAnsi="Verdana" w:cs="Arial"/>
          <w:b/>
          <w:color w:val="002060"/>
          <w:sz w:val="28"/>
          <w:szCs w:val="36"/>
        </w:rPr>
      </w:pPr>
      <w:bookmarkStart w:id="0" w:name="_GoBack"/>
      <w:bookmarkEnd w:id="0"/>
    </w:p>
    <w:p w14:paraId="6387EFA9" w14:textId="77777777" w:rsidR="0071730C" w:rsidRDefault="0071730C" w:rsidP="0071730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710217FC" w14:textId="77777777" w:rsidR="0071730C" w:rsidRPr="00F809EB" w:rsidRDefault="0071730C" w:rsidP="0071730C">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785F0678" w14:textId="77777777" w:rsidR="0071730C" w:rsidRPr="002A00C3" w:rsidRDefault="0071730C" w:rsidP="0071730C">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71730C" w:rsidRPr="00A049C0" w14:paraId="7160AFDB" w14:textId="77777777" w:rsidTr="003B5018">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70882765" w14:textId="77777777" w:rsidR="0071730C" w:rsidRPr="002A00C3" w:rsidRDefault="0071730C"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25C4CFF" w14:textId="77777777" w:rsidR="0071730C" w:rsidRPr="002A00C3" w:rsidRDefault="0071730C" w:rsidP="003B5018">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1A029D7E" w14:textId="77777777" w:rsidR="0071730C" w:rsidRPr="002A00C3" w:rsidRDefault="0071730C" w:rsidP="003B501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71730C" w:rsidRPr="00A049C0" w14:paraId="64C8E1F5" w14:textId="77777777" w:rsidTr="003B5018">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5475088"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3BE94181"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E82D25E"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BCD5E8D"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0B1318D"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lastRenderedPageBreak/>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8C6981B"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lastRenderedPageBreak/>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5C63240"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F82B790"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71730C" w:rsidRPr="002A00C3" w14:paraId="79DA013A" w14:textId="77777777" w:rsidTr="003B5018">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09915B42" w14:textId="77777777" w:rsidR="0071730C" w:rsidRPr="002A00C3" w:rsidRDefault="0071730C"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5" w:type="dxa"/>
            <w:tcBorders>
              <w:top w:val="nil"/>
              <w:left w:val="nil"/>
              <w:bottom w:val="nil"/>
              <w:right w:val="single" w:sz="8" w:space="0" w:color="auto"/>
            </w:tcBorders>
            <w:shd w:val="clear" w:color="auto" w:fill="auto"/>
            <w:vAlign w:val="center"/>
            <w:hideMark/>
          </w:tcPr>
          <w:p w14:paraId="2866B1FE" w14:textId="77777777" w:rsidR="0071730C" w:rsidRPr="002A00C3" w:rsidRDefault="0071730C" w:rsidP="003B501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06C72DE6"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238951E" w14:textId="77777777" w:rsidR="0071730C" w:rsidRPr="002A00C3" w:rsidRDefault="000B6B4A" w:rsidP="003B5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18352989"/>
                <w14:checkbox>
                  <w14:checked w14:val="0"/>
                  <w14:checkedState w14:val="2612" w14:font="MS Gothic"/>
                  <w14:uncheckedState w14:val="2610" w14:font="MS Gothic"/>
                </w14:checkbox>
              </w:sdtPr>
              <w:sdtEndPr/>
              <w:sdtContent>
                <w:r w:rsidR="0071730C">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FBD5B17" w14:textId="77777777" w:rsidR="0071730C" w:rsidRPr="002A00C3" w:rsidRDefault="000B6B4A" w:rsidP="003B5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1558279"/>
                <w14:checkbox>
                  <w14:checked w14:val="0"/>
                  <w14:checkedState w14:val="2612" w14:font="MS Gothic"/>
                  <w14:uncheckedState w14:val="2610" w14:font="MS Gothic"/>
                </w14:checkbox>
              </w:sdtPr>
              <w:sdtEndPr/>
              <w:sdtContent>
                <w:r w:rsidR="0071730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008516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4E5C6E3A"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4AFD7E10"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1730C" w:rsidRPr="002A00C3" w14:paraId="12A8048A" w14:textId="77777777" w:rsidTr="003B5018">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B6E10F8" w14:textId="77777777" w:rsidR="0071730C" w:rsidRPr="002A00C3" w:rsidRDefault="0071730C"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88DE086" w14:textId="77777777" w:rsidR="0071730C" w:rsidRPr="002A00C3" w:rsidRDefault="0071730C" w:rsidP="003B501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5EB33C5"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6B2DE428" w14:textId="77777777" w:rsidR="0071730C" w:rsidRPr="002A00C3" w:rsidRDefault="000B6B4A" w:rsidP="003B5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32654462"/>
                <w14:checkbox>
                  <w14:checked w14:val="0"/>
                  <w14:checkedState w14:val="2612" w14:font="MS Gothic"/>
                  <w14:uncheckedState w14:val="2610" w14:font="MS Gothic"/>
                </w14:checkbox>
              </w:sdtPr>
              <w:sdtEndPr/>
              <w:sdtContent>
                <w:r w:rsidR="0071730C"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A96B955" w14:textId="77777777" w:rsidR="0071730C" w:rsidRPr="002A00C3" w:rsidRDefault="000B6B4A" w:rsidP="003B5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44430798"/>
                <w14:checkbox>
                  <w14:checked w14:val="0"/>
                  <w14:checkedState w14:val="2612" w14:font="MS Gothic"/>
                  <w14:uncheckedState w14:val="2610" w14:font="MS Gothic"/>
                </w14:checkbox>
              </w:sdtPr>
              <w:sdtEndPr/>
              <w:sdtContent>
                <w:r w:rsidR="0071730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1323055"/>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6350D3CF"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EDA958D"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2C2CC18" w14:textId="77777777" w:rsidR="0071730C" w:rsidRDefault="0071730C" w:rsidP="0071730C">
      <w:pPr>
        <w:spacing w:after="0"/>
        <w:rPr>
          <w:lang w:val="en-GB"/>
        </w:rPr>
      </w:pPr>
    </w:p>
    <w:p w14:paraId="161C83C5" w14:textId="77777777" w:rsidR="0071730C" w:rsidRPr="002A00C3" w:rsidRDefault="0071730C" w:rsidP="0071730C">
      <w:pPr>
        <w:spacing w:after="0"/>
        <w:rPr>
          <w:lang w:val="en-GB"/>
        </w:rPr>
      </w:pPr>
    </w:p>
    <w:p w14:paraId="5EF7E83E" w14:textId="59E71F19" w:rsidR="0071730C" w:rsidRDefault="0071730C" w:rsidP="0071730C">
      <w:pPr>
        <w:spacing w:after="0"/>
        <w:rPr>
          <w:lang w:val="en-GB"/>
        </w:rPr>
      </w:pPr>
    </w:p>
    <w:p w14:paraId="12A0EEA8" w14:textId="42F05E13" w:rsidR="0071730C" w:rsidRDefault="0071730C" w:rsidP="0071730C">
      <w:pPr>
        <w:spacing w:after="0"/>
        <w:rPr>
          <w:lang w:val="en-GB"/>
        </w:rPr>
      </w:pPr>
    </w:p>
    <w:p w14:paraId="1A55DDD7" w14:textId="6B2C39E6" w:rsidR="0071730C" w:rsidRDefault="0071730C" w:rsidP="0071730C">
      <w:pPr>
        <w:spacing w:after="0"/>
        <w:rPr>
          <w:lang w:val="en-GB"/>
        </w:rPr>
      </w:pPr>
    </w:p>
    <w:p w14:paraId="1AB6209F" w14:textId="580E352C" w:rsidR="0071730C" w:rsidRDefault="0071730C" w:rsidP="0071730C">
      <w:pPr>
        <w:spacing w:after="0"/>
        <w:rPr>
          <w:lang w:val="en-GB"/>
        </w:rPr>
      </w:pPr>
    </w:p>
    <w:p w14:paraId="341AC8C7" w14:textId="77777777" w:rsidR="0071730C" w:rsidRPr="002A00C3" w:rsidRDefault="0071730C" w:rsidP="0071730C">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71730C" w:rsidRPr="00A049C0" w14:paraId="492950F0" w14:textId="77777777" w:rsidTr="003B5018">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67957DE5" w14:textId="77777777" w:rsidR="0071730C" w:rsidRPr="002A00C3" w:rsidRDefault="0071730C"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D0B9F31" w14:textId="77777777" w:rsidR="0071730C" w:rsidRPr="002A00C3" w:rsidRDefault="0071730C" w:rsidP="003B5018">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71E7154E" w14:textId="77777777" w:rsidR="0071730C" w:rsidRPr="002A00C3" w:rsidRDefault="0071730C" w:rsidP="003B501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71730C" w:rsidRPr="00A049C0" w14:paraId="112CBEDE" w14:textId="77777777" w:rsidTr="003B5018">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5112EDEA"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E3E04F8"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0C518B91"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63FB9D"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B889E2"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78E6065"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1C14CC80"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F5FAC0"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4BA1970E" w14:textId="77777777" w:rsidR="0071730C" w:rsidRPr="002A00C3" w:rsidRDefault="0071730C" w:rsidP="003B501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71730C" w:rsidRPr="002A00C3" w14:paraId="7D70704D" w14:textId="77777777" w:rsidTr="003B5018">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CA308C3" w14:textId="77777777" w:rsidR="0071730C" w:rsidRPr="002A00C3" w:rsidRDefault="0071730C"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9410EF" w14:textId="77777777" w:rsidR="0071730C" w:rsidRPr="002A00C3" w:rsidRDefault="0071730C" w:rsidP="003B501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6C5A7078"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6499AF04" w14:textId="77777777" w:rsidR="0071730C" w:rsidRPr="002A00C3" w:rsidRDefault="000B6B4A" w:rsidP="003B5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32007688"/>
                <w14:checkbox>
                  <w14:checked w14:val="0"/>
                  <w14:checkedState w14:val="2612" w14:font="MS Gothic"/>
                  <w14:uncheckedState w14:val="2610" w14:font="MS Gothic"/>
                </w14:checkbox>
              </w:sdtPr>
              <w:sdtEndPr/>
              <w:sdtContent>
                <w:r w:rsidR="0071730C"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6DC1D5E" w14:textId="77777777" w:rsidR="0071730C" w:rsidRPr="002A00C3" w:rsidRDefault="000B6B4A" w:rsidP="003B5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79227278"/>
                <w14:checkbox>
                  <w14:checked w14:val="0"/>
                  <w14:checkedState w14:val="2612" w14:font="MS Gothic"/>
                  <w14:uncheckedState w14:val="2610" w14:font="MS Gothic"/>
                </w14:checkbox>
              </w:sdtPr>
              <w:sdtEndPr/>
              <w:sdtContent>
                <w:r w:rsidR="0071730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29731125"/>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755F9515"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EE7433B"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390B3156"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8906823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5725086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1730C" w:rsidRPr="002A00C3" w14:paraId="527F8F0D" w14:textId="77777777" w:rsidTr="003B5018">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9145CA" w14:textId="77777777" w:rsidR="0071730C" w:rsidRPr="002A00C3" w:rsidRDefault="0071730C" w:rsidP="003B501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92F2E20" w14:textId="77777777" w:rsidR="0071730C" w:rsidRPr="002A00C3" w:rsidRDefault="0071730C" w:rsidP="003B501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12095001"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0A4EE9B1" w14:textId="77777777" w:rsidR="0071730C" w:rsidRPr="002A00C3" w:rsidRDefault="000B6B4A" w:rsidP="003B5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108495"/>
                <w14:checkbox>
                  <w14:checked w14:val="0"/>
                  <w14:checkedState w14:val="2612" w14:font="MS Gothic"/>
                  <w14:uncheckedState w14:val="2610" w14:font="MS Gothic"/>
                </w14:checkbox>
              </w:sdtPr>
              <w:sdtEndPr/>
              <w:sdtContent>
                <w:r w:rsidR="0071730C"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1067EF0A" w14:textId="77777777" w:rsidR="0071730C" w:rsidRPr="002A00C3" w:rsidRDefault="000B6B4A" w:rsidP="003B5018">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32466671"/>
                <w14:checkbox>
                  <w14:checked w14:val="0"/>
                  <w14:checkedState w14:val="2612" w14:font="MS Gothic"/>
                  <w14:uncheckedState w14:val="2610" w14:font="MS Gothic"/>
                </w14:checkbox>
              </w:sdtPr>
              <w:sdtEndPr/>
              <w:sdtContent>
                <w:r w:rsidR="0071730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936275798"/>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E4A0DE6"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7A042464"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0BF509A4" w14:textId="77777777" w:rsidR="0071730C" w:rsidRPr="002A00C3" w:rsidRDefault="0071730C" w:rsidP="003B5018">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6691385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0314349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029FC197" w14:textId="77777777" w:rsidR="0071730C" w:rsidRDefault="0071730C" w:rsidP="0071730C">
      <w:pPr>
        <w:spacing w:after="0"/>
        <w:rPr>
          <w:lang w:val="en-GB"/>
        </w:rPr>
      </w:pPr>
    </w:p>
    <w:p w14:paraId="45D2657E" w14:textId="77777777" w:rsidR="0071730C" w:rsidRDefault="0071730C" w:rsidP="0071730C">
      <w:pPr>
        <w:spacing w:after="0"/>
        <w:rPr>
          <w:lang w:val="en-GB"/>
        </w:rPr>
      </w:pPr>
    </w:p>
    <w:p w14:paraId="338C6FFD" w14:textId="77777777" w:rsidR="0071730C" w:rsidRPr="002A00C3" w:rsidRDefault="0071730C" w:rsidP="0071730C">
      <w:pPr>
        <w:spacing w:after="0"/>
        <w:rPr>
          <w:lang w:val="en-GB"/>
        </w:rPr>
      </w:pPr>
    </w:p>
    <w:tbl>
      <w:tblPr>
        <w:tblStyle w:val="Rcsostblzat"/>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71730C" w14:paraId="4108183A" w14:textId="77777777" w:rsidTr="003B5018">
        <w:trPr>
          <w:trHeight w:hRule="exact" w:val="537"/>
        </w:trPr>
        <w:tc>
          <w:tcPr>
            <w:tcW w:w="11121" w:type="dxa"/>
            <w:gridSpan w:val="7"/>
            <w:shd w:val="clear" w:color="auto" w:fill="D5DCE4" w:themeFill="text2" w:themeFillTint="33"/>
          </w:tcPr>
          <w:p w14:paraId="2DB105E4" w14:textId="77777777" w:rsidR="0071730C" w:rsidRPr="002A00C3" w:rsidRDefault="0071730C" w:rsidP="003B5018">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7B3BD284" w14:textId="77777777" w:rsidR="0071730C" w:rsidRDefault="0071730C" w:rsidP="003B50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71730C" w14:paraId="7D0D8534" w14:textId="77777777" w:rsidTr="003B5018">
        <w:trPr>
          <w:trHeight w:hRule="exact" w:val="835"/>
        </w:trPr>
        <w:tc>
          <w:tcPr>
            <w:tcW w:w="767" w:type="dxa"/>
            <w:vMerge w:val="restart"/>
            <w:shd w:val="clear" w:color="auto" w:fill="D5DCE4" w:themeFill="text2" w:themeFillTint="33"/>
          </w:tcPr>
          <w:p w14:paraId="6E962FBA" w14:textId="77777777" w:rsidR="0071730C" w:rsidRDefault="0071730C" w:rsidP="003B5018">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2B1D76D" w14:textId="77777777" w:rsidR="0071730C" w:rsidRDefault="0071730C" w:rsidP="003B5018">
            <w:pPr>
              <w:spacing w:after="0" w:line="240" w:lineRule="auto"/>
              <w:ind w:right="-993"/>
              <w:rPr>
                <w:rFonts w:cs="Calibri"/>
                <w:b/>
                <w:sz w:val="16"/>
                <w:szCs w:val="16"/>
                <w:lang w:val="en-GB"/>
              </w:rPr>
            </w:pPr>
            <w:r>
              <w:rPr>
                <w:rFonts w:cs="Calibri"/>
                <w:b/>
                <w:sz w:val="16"/>
                <w:szCs w:val="16"/>
                <w:lang w:val="en-GB"/>
              </w:rPr>
              <w:t>Component</w:t>
            </w:r>
          </w:p>
          <w:p w14:paraId="4BA236F4" w14:textId="77777777" w:rsidR="0071730C" w:rsidRDefault="0071730C" w:rsidP="003B5018">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29231DFC" w14:textId="77777777" w:rsidR="0071730C" w:rsidRDefault="0071730C" w:rsidP="003B5018">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342233D" w14:textId="77777777" w:rsidR="0071730C" w:rsidRDefault="0071730C" w:rsidP="003B5018">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5B4EBB11" w14:textId="77777777" w:rsidR="0071730C" w:rsidRPr="006B2CC6" w:rsidRDefault="0071730C" w:rsidP="003B5018">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766B6832" w14:textId="77777777" w:rsidR="0071730C" w:rsidRDefault="0071730C" w:rsidP="003B5018">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11892B05" w14:textId="77777777" w:rsidR="0071730C" w:rsidRDefault="0071730C" w:rsidP="003B5018">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5644252C" w14:textId="77777777" w:rsidR="0071730C" w:rsidRPr="008B0BDB" w:rsidRDefault="0071730C" w:rsidP="003B5018">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0F52F855" w14:textId="77777777" w:rsidR="0071730C" w:rsidRDefault="0071730C" w:rsidP="003B501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71730C" w14:paraId="7C9358D3" w14:textId="77777777" w:rsidTr="003B5018">
        <w:trPr>
          <w:trHeight w:hRule="exact" w:val="341"/>
        </w:trPr>
        <w:tc>
          <w:tcPr>
            <w:tcW w:w="767" w:type="dxa"/>
            <w:vMerge/>
            <w:shd w:val="clear" w:color="auto" w:fill="D5DCE4" w:themeFill="text2" w:themeFillTint="33"/>
          </w:tcPr>
          <w:p w14:paraId="0ABC222A" w14:textId="77777777" w:rsidR="0071730C" w:rsidRDefault="0071730C" w:rsidP="003B5018">
            <w:pPr>
              <w:ind w:right="-993"/>
              <w:rPr>
                <w:rFonts w:cs="Calibri"/>
                <w:b/>
                <w:sz w:val="16"/>
                <w:szCs w:val="16"/>
                <w:lang w:val="en-GB"/>
              </w:rPr>
            </w:pPr>
          </w:p>
        </w:tc>
        <w:tc>
          <w:tcPr>
            <w:tcW w:w="1141" w:type="dxa"/>
          </w:tcPr>
          <w:p w14:paraId="6E776BEA" w14:textId="77777777" w:rsidR="0071730C" w:rsidRDefault="0071730C" w:rsidP="003B5018">
            <w:pPr>
              <w:ind w:right="-993"/>
              <w:rPr>
                <w:rFonts w:cs="Calibri"/>
                <w:b/>
                <w:sz w:val="16"/>
                <w:szCs w:val="16"/>
                <w:lang w:val="en-GB"/>
              </w:rPr>
            </w:pPr>
          </w:p>
        </w:tc>
        <w:tc>
          <w:tcPr>
            <w:tcW w:w="3107" w:type="dxa"/>
          </w:tcPr>
          <w:p w14:paraId="7673D4DC" w14:textId="77777777" w:rsidR="0071730C" w:rsidRDefault="0071730C" w:rsidP="003B5018">
            <w:pPr>
              <w:ind w:right="-993"/>
              <w:rPr>
                <w:rFonts w:cs="Calibri"/>
                <w:b/>
                <w:sz w:val="16"/>
                <w:szCs w:val="16"/>
                <w:lang w:val="en-GB"/>
              </w:rPr>
            </w:pPr>
          </w:p>
        </w:tc>
        <w:tc>
          <w:tcPr>
            <w:tcW w:w="1667" w:type="dxa"/>
          </w:tcPr>
          <w:p w14:paraId="54B9E8A4" w14:textId="77777777" w:rsidR="0071730C" w:rsidRDefault="0071730C" w:rsidP="003B5018">
            <w:pPr>
              <w:rPr>
                <w:rFonts w:ascii="Calibri" w:eastAsia="Times New Roman" w:hAnsi="Calibri" w:cs="Times New Roman"/>
                <w:color w:val="000000"/>
                <w:sz w:val="16"/>
                <w:szCs w:val="16"/>
                <w:lang w:val="en-GB" w:eastAsia="en-GB"/>
              </w:rPr>
            </w:pPr>
          </w:p>
        </w:tc>
        <w:tc>
          <w:tcPr>
            <w:tcW w:w="1667" w:type="dxa"/>
          </w:tcPr>
          <w:p w14:paraId="7B1ECAFE" w14:textId="77777777" w:rsidR="0071730C" w:rsidRDefault="0071730C" w:rsidP="003B5018">
            <w:pPr>
              <w:rPr>
                <w:rFonts w:ascii="Calibri" w:eastAsia="Times New Roman" w:hAnsi="Calibri" w:cs="Times New Roman"/>
                <w:color w:val="000000"/>
                <w:sz w:val="16"/>
                <w:szCs w:val="16"/>
                <w:lang w:val="en-GB" w:eastAsia="en-GB"/>
              </w:rPr>
            </w:pPr>
          </w:p>
        </w:tc>
        <w:tc>
          <w:tcPr>
            <w:tcW w:w="1310" w:type="dxa"/>
          </w:tcPr>
          <w:p w14:paraId="675E764C" w14:textId="77777777" w:rsidR="0071730C" w:rsidRDefault="0071730C" w:rsidP="003B5018">
            <w:pPr>
              <w:jc w:val="center"/>
              <w:rPr>
                <w:rFonts w:ascii="Calibri" w:eastAsia="Times New Roman" w:hAnsi="Calibri" w:cs="Times New Roman"/>
                <w:color w:val="000000"/>
                <w:sz w:val="16"/>
                <w:szCs w:val="16"/>
                <w:lang w:val="en-GB" w:eastAsia="en-GB"/>
              </w:rPr>
            </w:pPr>
          </w:p>
        </w:tc>
        <w:tc>
          <w:tcPr>
            <w:tcW w:w="1461" w:type="dxa"/>
            <w:vAlign w:val="bottom"/>
          </w:tcPr>
          <w:p w14:paraId="2DED1D8C" w14:textId="77777777" w:rsidR="0071730C" w:rsidRDefault="0071730C" w:rsidP="003B501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47768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9930955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71730C" w14:paraId="2981214C" w14:textId="77777777" w:rsidTr="003B5018">
        <w:trPr>
          <w:trHeight w:hRule="exact" w:val="341"/>
        </w:trPr>
        <w:tc>
          <w:tcPr>
            <w:tcW w:w="767" w:type="dxa"/>
            <w:vMerge/>
            <w:shd w:val="clear" w:color="auto" w:fill="D5DCE4" w:themeFill="text2" w:themeFillTint="33"/>
          </w:tcPr>
          <w:p w14:paraId="3BC3961B" w14:textId="77777777" w:rsidR="0071730C" w:rsidRDefault="0071730C" w:rsidP="003B5018">
            <w:pPr>
              <w:ind w:right="-993"/>
              <w:rPr>
                <w:rFonts w:cs="Calibri"/>
                <w:b/>
                <w:sz w:val="16"/>
                <w:szCs w:val="16"/>
                <w:lang w:val="en-GB"/>
              </w:rPr>
            </w:pPr>
          </w:p>
        </w:tc>
        <w:tc>
          <w:tcPr>
            <w:tcW w:w="1141" w:type="dxa"/>
          </w:tcPr>
          <w:p w14:paraId="59626299" w14:textId="77777777" w:rsidR="0071730C" w:rsidRDefault="0071730C" w:rsidP="003B5018">
            <w:pPr>
              <w:ind w:right="-993"/>
              <w:rPr>
                <w:rFonts w:cs="Calibri"/>
                <w:b/>
                <w:sz w:val="16"/>
                <w:szCs w:val="16"/>
                <w:lang w:val="en-GB"/>
              </w:rPr>
            </w:pPr>
          </w:p>
        </w:tc>
        <w:tc>
          <w:tcPr>
            <w:tcW w:w="3107" w:type="dxa"/>
          </w:tcPr>
          <w:p w14:paraId="2E6D6ACA" w14:textId="77777777" w:rsidR="0071730C" w:rsidRDefault="0071730C" w:rsidP="003B5018">
            <w:pPr>
              <w:ind w:right="-993"/>
              <w:rPr>
                <w:rFonts w:cs="Calibri"/>
                <w:b/>
                <w:sz w:val="16"/>
                <w:szCs w:val="16"/>
                <w:lang w:val="en-GB"/>
              </w:rPr>
            </w:pPr>
          </w:p>
        </w:tc>
        <w:tc>
          <w:tcPr>
            <w:tcW w:w="1667" w:type="dxa"/>
          </w:tcPr>
          <w:p w14:paraId="36A68DBE" w14:textId="77777777" w:rsidR="0071730C" w:rsidRDefault="0071730C" w:rsidP="003B5018">
            <w:pPr>
              <w:rPr>
                <w:rFonts w:ascii="Calibri" w:eastAsia="Times New Roman" w:hAnsi="Calibri" w:cs="Times New Roman"/>
                <w:color w:val="000000"/>
                <w:sz w:val="16"/>
                <w:szCs w:val="16"/>
                <w:lang w:val="en-GB" w:eastAsia="en-GB"/>
              </w:rPr>
            </w:pPr>
          </w:p>
        </w:tc>
        <w:tc>
          <w:tcPr>
            <w:tcW w:w="1667" w:type="dxa"/>
          </w:tcPr>
          <w:p w14:paraId="2E987B01" w14:textId="77777777" w:rsidR="0071730C" w:rsidRDefault="0071730C" w:rsidP="003B5018">
            <w:pPr>
              <w:rPr>
                <w:rFonts w:ascii="Calibri" w:eastAsia="Times New Roman" w:hAnsi="Calibri" w:cs="Times New Roman"/>
                <w:color w:val="000000"/>
                <w:sz w:val="16"/>
                <w:szCs w:val="16"/>
                <w:lang w:val="en-GB" w:eastAsia="en-GB"/>
              </w:rPr>
            </w:pPr>
          </w:p>
        </w:tc>
        <w:tc>
          <w:tcPr>
            <w:tcW w:w="1310" w:type="dxa"/>
          </w:tcPr>
          <w:p w14:paraId="2AB3AC0F" w14:textId="77777777" w:rsidR="0071730C" w:rsidRDefault="0071730C" w:rsidP="003B5018">
            <w:pPr>
              <w:jc w:val="center"/>
              <w:rPr>
                <w:rFonts w:ascii="Calibri" w:eastAsia="Times New Roman" w:hAnsi="Calibri" w:cs="Times New Roman"/>
                <w:color w:val="000000"/>
                <w:sz w:val="16"/>
                <w:szCs w:val="16"/>
                <w:lang w:val="en-GB" w:eastAsia="en-GB"/>
              </w:rPr>
            </w:pPr>
          </w:p>
        </w:tc>
        <w:tc>
          <w:tcPr>
            <w:tcW w:w="1461" w:type="dxa"/>
            <w:vAlign w:val="bottom"/>
          </w:tcPr>
          <w:p w14:paraId="49DC74FE" w14:textId="77777777" w:rsidR="0071730C" w:rsidRDefault="0071730C" w:rsidP="003B5018">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5175236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8071142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0DA123B1" w14:textId="6F72889E"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1730C">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1730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Jegyzethivatkozs"/>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173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173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173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173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173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173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173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173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173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1730C">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173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1730C">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173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173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1730C">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1730C">
            <w:pPr>
              <w:spacing w:after="0" w:line="240" w:lineRule="auto"/>
              <w:jc w:val="center"/>
              <w:rPr>
                <w:rFonts w:ascii="Calibri" w:eastAsia="Times New Roman" w:hAnsi="Calibri" w:cs="Times New Roman"/>
                <w:b/>
                <w:bCs/>
                <w:color w:val="000000"/>
                <w:sz w:val="16"/>
                <w:szCs w:val="16"/>
                <w:lang w:val="en-GB" w:eastAsia="en-GB"/>
              </w:rPr>
            </w:pPr>
          </w:p>
        </w:tc>
      </w:tr>
    </w:tbl>
    <w:p w14:paraId="026EDF36" w14:textId="4A307695" w:rsidR="00854FA2" w:rsidRPr="0071730C" w:rsidRDefault="00C31445" w:rsidP="0071730C">
      <w:pPr>
        <w:spacing w:after="120" w:line="240" w:lineRule="auto"/>
        <w:ind w:right="28"/>
        <w:rPr>
          <w:rFonts w:ascii="Verdana" w:eastAsia="Times New Roman" w:hAnsi="Verdana" w:cs="Arial"/>
          <w:b/>
          <w:i/>
          <w:color w:val="002060"/>
          <w:szCs w:val="36"/>
          <w:lang w:val="en-GB"/>
        </w:rPr>
      </w:pPr>
      <w:r w:rsidRPr="0071730C">
        <w:rPr>
          <w:rFonts w:ascii="Verdana" w:eastAsia="Times New Roman" w:hAnsi="Verdana" w:cs="Arial"/>
          <w:b/>
          <w:i/>
          <w:color w:val="002060"/>
          <w:szCs w:val="36"/>
          <w:lang w:val="en-GB"/>
        </w:rPr>
        <w:t xml:space="preserve">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4161B44D" w14:textId="77777777" w:rsidR="0071730C" w:rsidRDefault="0071730C">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40420FB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iperhivatkozs"/>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B6B4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1730C"/>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purl.org/dc/terms/"/>
    <ds:schemaRef ds:uri="http://purl.org/dc/dcmitype/"/>
    <ds:schemaRef ds:uri="http://schemas.microsoft.com/office/2006/documentManagement/types"/>
    <ds:schemaRef ds:uri="http://purl.org/dc/elements/1.1/"/>
    <ds:schemaRef ds:uri="3fb91a6a-179c-40e3-9f1d-e9265602433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8C634-D80B-4F53-B53F-76A42EC4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9391</Characters>
  <Application>Microsoft Office Word</Application>
  <DocSecurity>0</DocSecurity>
  <Lines>78</Lines>
  <Paragraphs>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10730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Németh Katalin Anna</cp:lastModifiedBy>
  <cp:revision>2</cp:revision>
  <cp:lastPrinted>2021-02-09T14:36:00Z</cp:lastPrinted>
  <dcterms:created xsi:type="dcterms:W3CDTF">2022-12-21T11:25:00Z</dcterms:created>
  <dcterms:modified xsi:type="dcterms:W3CDTF">2022-12-21T11:25:00Z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