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B4" w:rsidRDefault="00C168F4">
      <w:pPr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6F63E67" wp14:editId="4FC4CAFC">
            <wp:simplePos x="0" y="0"/>
            <wp:positionH relativeFrom="column">
              <wp:posOffset>278130</wp:posOffset>
            </wp:positionH>
            <wp:positionV relativeFrom="paragraph">
              <wp:posOffset>-447040</wp:posOffset>
            </wp:positionV>
            <wp:extent cx="5206365" cy="1097280"/>
            <wp:effectExtent l="0" t="0" r="0" b="762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B80" w:rsidRDefault="00541B80">
      <w:pPr>
        <w:jc w:val="center"/>
        <w:rPr>
          <w:b/>
        </w:rPr>
      </w:pPr>
      <w:r>
        <w:rPr>
          <w:b/>
        </w:rPr>
        <w:t>PÁLYÁZATI FELHÍVÁS</w:t>
      </w:r>
    </w:p>
    <w:p w:rsidR="00541B80" w:rsidRDefault="00541B80">
      <w:pPr>
        <w:jc w:val="center"/>
        <w:rPr>
          <w:b/>
        </w:rPr>
      </w:pPr>
    </w:p>
    <w:p w:rsidR="00541B80" w:rsidRDefault="00541B80">
      <w:pPr>
        <w:jc w:val="center"/>
        <w:rPr>
          <w:b/>
        </w:rPr>
      </w:pPr>
      <w:r>
        <w:rPr>
          <w:b/>
        </w:rPr>
        <w:t xml:space="preserve">Az Eötvös Loránd Tudományegyetem pályázatot ír ki </w:t>
      </w:r>
      <w:r w:rsidR="002F27BF">
        <w:rPr>
          <w:b/>
        </w:rPr>
        <w:t xml:space="preserve">a </w:t>
      </w:r>
      <w:r w:rsidR="00AD5183">
        <w:rPr>
          <w:b/>
        </w:rPr>
        <w:t>2020</w:t>
      </w:r>
      <w:r w:rsidR="00691BA3">
        <w:rPr>
          <w:b/>
        </w:rPr>
        <w:t>/2</w:t>
      </w:r>
      <w:r w:rsidR="00AD5183">
        <w:rPr>
          <w:b/>
        </w:rPr>
        <w:t>1</w:t>
      </w:r>
      <w:r w:rsidR="002F27BF">
        <w:rPr>
          <w:b/>
        </w:rPr>
        <w:t xml:space="preserve">. tanévi </w:t>
      </w:r>
      <w:r>
        <w:rPr>
          <w:b/>
        </w:rPr>
        <w:t>Erasmus+ képzési célú munkatársi mobilitási programban való részvételre</w:t>
      </w:r>
    </w:p>
    <w:p w:rsidR="00541B80" w:rsidRDefault="00541B80">
      <w:pPr>
        <w:rPr>
          <w:b/>
        </w:rPr>
      </w:pPr>
    </w:p>
    <w:p w:rsidR="00541B80" w:rsidRDefault="00541B80">
      <w:pPr>
        <w:spacing w:after="120"/>
      </w:pPr>
      <w:r>
        <w:rPr>
          <w:b/>
        </w:rPr>
        <w:t>A pályázat célja:</w:t>
      </w:r>
    </w:p>
    <w:p w:rsidR="00541B80" w:rsidRDefault="00541B80">
      <w:pPr>
        <w:pStyle w:val="NormlWeb1"/>
        <w:jc w:val="both"/>
      </w:pPr>
      <w:r>
        <w:t xml:space="preserve">Az Erasmus+ képzési célú munkatársi mobilitás célja, hogy a felsőoktatási intézmények munkatársai munkaterületükhöz szorosan kötődő rövid, néhány napos képzésen vehessenek részt külföldi partnerszervezeteknél, intézményeknél, melynek keretében </w:t>
      </w:r>
      <w:r w:rsidR="00897B66">
        <w:t>saját maguk</w:t>
      </w:r>
      <w:r>
        <w:t>, valamint szervezeti egységük számára is jól hasznosítható tapasztalatokra</w:t>
      </w:r>
      <w:r w:rsidR="00897B66">
        <w:t xml:space="preserve"> tegyenek szert</w:t>
      </w:r>
      <w:r>
        <w:t>, nemzetközi jó gyakorlatok</w:t>
      </w:r>
      <w:r w:rsidR="00897B66">
        <w:t>at</w:t>
      </w:r>
      <w:r>
        <w:t xml:space="preserve"> </w:t>
      </w:r>
      <w:r w:rsidR="00897B66">
        <w:t>sajátítsanak el</w:t>
      </w:r>
      <w:r>
        <w:t xml:space="preserve">. </w:t>
      </w:r>
    </w:p>
    <w:p w:rsidR="00541B80" w:rsidRDefault="00541B80">
      <w:pPr>
        <w:pStyle w:val="NormlWeb1"/>
        <w:jc w:val="both"/>
      </w:pPr>
    </w:p>
    <w:p w:rsidR="00541B80" w:rsidRDefault="00541B80">
      <w:pPr>
        <w:pStyle w:val="NormlWeb1"/>
        <w:jc w:val="both"/>
      </w:pPr>
      <w:r>
        <w:rPr>
          <w:b/>
        </w:rPr>
        <w:t>Kik pályázhatnak?</w:t>
      </w:r>
    </w:p>
    <w:p w:rsidR="00541B80" w:rsidRDefault="00541B80">
      <w:pPr>
        <w:pStyle w:val="NormlWeb1"/>
        <w:jc w:val="both"/>
        <w:rPr>
          <w:color w:val="515151"/>
        </w:rPr>
      </w:pPr>
      <w:r>
        <w:t>Az Erasmus+ képzési célú munkatársi mobilitásban az ELTE adminisztratív állományában dolgozó főállású munkatársak veh</w:t>
      </w:r>
      <w:r w:rsidR="00B6319F">
        <w:t>etnek részt</w:t>
      </w:r>
      <w:r>
        <w:t xml:space="preserve"> (</w:t>
      </w:r>
      <w:r w:rsidR="00B6319F">
        <w:t>p</w:t>
      </w:r>
      <w:r w:rsidR="00652198">
        <w:t>l.</w:t>
      </w:r>
      <w:r w:rsidR="00B6319F">
        <w:t xml:space="preserve"> </w:t>
      </w:r>
      <w:r>
        <w:t xml:space="preserve">tanulmányi </w:t>
      </w:r>
      <w:r w:rsidR="00652198">
        <w:t xml:space="preserve">hivatal </w:t>
      </w:r>
      <w:r>
        <w:t>munkatársai, kari központi adminisztratív szervezeti egységek munkatársai, gazdasági osztály munkatársai, informatikusok, könyvtárosok, tanszéki adminisztrátorok, nemzetközi ügyintézők</w:t>
      </w:r>
      <w:r w:rsidR="00652198">
        <w:t>, nemzetközi koordinátorok</w:t>
      </w:r>
      <w:r>
        <w:t>)</w:t>
      </w:r>
      <w:r w:rsidR="00B6319F">
        <w:t>.</w:t>
      </w:r>
    </w:p>
    <w:p w:rsidR="00541B80" w:rsidRDefault="00541B80">
      <w:pPr>
        <w:pStyle w:val="NormlWeb1"/>
        <w:jc w:val="both"/>
        <w:rPr>
          <w:b/>
        </w:rPr>
      </w:pPr>
      <w:r>
        <w:rPr>
          <w:color w:val="515151"/>
        </w:rPr>
        <w:t xml:space="preserve"> </w:t>
      </w:r>
    </w:p>
    <w:p w:rsidR="00541B80" w:rsidRDefault="00541B80">
      <w:pPr>
        <w:pStyle w:val="NormlWeb1"/>
        <w:jc w:val="both"/>
      </w:pPr>
      <w:r>
        <w:rPr>
          <w:b/>
        </w:rPr>
        <w:t>A pályázat tárgya:</w:t>
      </w:r>
    </w:p>
    <w:p w:rsidR="00541B80" w:rsidRDefault="00541B80" w:rsidP="00C168F4">
      <w:pPr>
        <w:pStyle w:val="Cmsor4"/>
        <w:tabs>
          <w:tab w:val="clear" w:pos="0"/>
        </w:tabs>
        <w:spacing w:before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képzési célú mobilitás keretében pályázható az Európai Unió programországainak bármely olyan intézménye, mely az adott munkatárs tevékenységi köréhez szorosan kapcsolódó képzést nyújt (konferenciák</w:t>
      </w:r>
      <w:r w:rsidR="00F520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nem pályázhatók</w:t>
      </w:r>
      <w:r w:rsidR="00B6319F">
        <w:rPr>
          <w:rFonts w:cs="Times New Roman"/>
          <w:sz w:val="24"/>
          <w:szCs w:val="24"/>
        </w:rPr>
        <w:t>!</w:t>
      </w:r>
      <w:r>
        <w:rPr>
          <w:rFonts w:cs="Times New Roman"/>
          <w:sz w:val="24"/>
          <w:szCs w:val="24"/>
        </w:rPr>
        <w:t xml:space="preserve">). Az Erasmus+ program keretében a pályázaton nyertes munkatársak </w:t>
      </w:r>
      <w:r w:rsidR="00B6319F">
        <w:rPr>
          <w:rFonts w:cs="Times New Roman"/>
          <w:sz w:val="24"/>
          <w:szCs w:val="24"/>
        </w:rPr>
        <w:t>ösztöndíjas képzési tevékenységet</w:t>
      </w:r>
      <w:r w:rsidR="00B6319F" w:rsidRPr="00B6319F">
        <w:rPr>
          <w:rFonts w:cs="Times New Roman"/>
          <w:sz w:val="24"/>
          <w:szCs w:val="24"/>
        </w:rPr>
        <w:t xml:space="preserve"> </w:t>
      </w:r>
      <w:r w:rsidR="00B6319F">
        <w:rPr>
          <w:rFonts w:cs="Times New Roman"/>
          <w:sz w:val="24"/>
          <w:szCs w:val="24"/>
        </w:rPr>
        <w:t xml:space="preserve">folytatnak </w:t>
      </w:r>
      <w:r w:rsidR="00C168F4">
        <w:rPr>
          <w:rFonts w:cs="Times New Roman"/>
          <w:sz w:val="24"/>
          <w:szCs w:val="24"/>
        </w:rPr>
        <w:t xml:space="preserve">bármely </w:t>
      </w:r>
      <w:r w:rsidR="00B6319F">
        <w:rPr>
          <w:rFonts w:cs="Times New Roman"/>
          <w:sz w:val="24"/>
          <w:szCs w:val="24"/>
        </w:rPr>
        <w:t>felsőoktatási intézményben</w:t>
      </w:r>
      <w:r w:rsidR="00897B66">
        <w:rPr>
          <w:rFonts w:cs="Times New Roman"/>
          <w:sz w:val="24"/>
          <w:szCs w:val="24"/>
        </w:rPr>
        <w:t xml:space="preserve"> </w:t>
      </w:r>
      <w:r w:rsidR="00B6319F">
        <w:rPr>
          <w:rFonts w:cs="Times New Roman"/>
          <w:sz w:val="24"/>
          <w:szCs w:val="24"/>
        </w:rPr>
        <w:t>és/vagy egyéb releváns képzést nyújtó intézményben. A képzési tevékenység</w:t>
      </w:r>
      <w:r>
        <w:rPr>
          <w:rFonts w:cs="Times New Roman"/>
          <w:sz w:val="24"/>
          <w:szCs w:val="24"/>
        </w:rPr>
        <w:t xml:space="preserve"> támogatott idő</w:t>
      </w:r>
      <w:r w:rsidR="00E03B2B">
        <w:rPr>
          <w:rFonts w:cs="Times New Roman"/>
          <w:sz w:val="24"/>
          <w:szCs w:val="24"/>
        </w:rPr>
        <w:t>tart</w:t>
      </w:r>
      <w:r w:rsidR="00B6319F">
        <w:rPr>
          <w:rFonts w:cs="Times New Roman"/>
          <w:sz w:val="24"/>
          <w:szCs w:val="24"/>
        </w:rPr>
        <w:t xml:space="preserve">ama </w:t>
      </w:r>
      <w:r w:rsidR="00C168F4">
        <w:rPr>
          <w:rFonts w:cs="Times New Roman"/>
          <w:sz w:val="24"/>
          <w:szCs w:val="24"/>
        </w:rPr>
        <w:t>2-5</w:t>
      </w:r>
      <w:r w:rsidR="00B6319F">
        <w:rPr>
          <w:rFonts w:cs="Times New Roman"/>
          <w:sz w:val="24"/>
          <w:szCs w:val="24"/>
        </w:rPr>
        <w:t xml:space="preserve"> nap lehet, amely</w:t>
      </w:r>
      <w:r w:rsidR="00E03B2B">
        <w:rPr>
          <w:rFonts w:cs="Times New Roman"/>
          <w:sz w:val="24"/>
          <w:szCs w:val="24"/>
        </w:rPr>
        <w:t>be</w:t>
      </w:r>
      <w:r>
        <w:rPr>
          <w:rFonts w:cs="Times New Roman"/>
          <w:sz w:val="24"/>
          <w:szCs w:val="24"/>
        </w:rPr>
        <w:t xml:space="preserve"> az utazási napok nem számíthatók bele</w:t>
      </w:r>
      <w:r w:rsidR="00652198">
        <w:rPr>
          <w:rFonts w:cs="Times New Roman"/>
          <w:sz w:val="24"/>
          <w:szCs w:val="24"/>
        </w:rPr>
        <w:t>.</w:t>
      </w:r>
      <w:r w:rsidR="00C168F4">
        <w:rPr>
          <w:rFonts w:cs="Times New Roman"/>
          <w:sz w:val="24"/>
          <w:szCs w:val="24"/>
        </w:rPr>
        <w:t xml:space="preserve"> </w:t>
      </w:r>
    </w:p>
    <w:p w:rsidR="00C168F4" w:rsidRPr="00C168F4" w:rsidRDefault="00C168F4" w:rsidP="00C168F4">
      <w:pPr>
        <w:pStyle w:val="Szvegtrzs"/>
      </w:pPr>
    </w:p>
    <w:p w:rsidR="00541B80" w:rsidRDefault="00541B80">
      <w:pPr>
        <w:pStyle w:val="NormlWeb1"/>
        <w:spacing w:line="288" w:lineRule="auto"/>
      </w:pPr>
      <w:r>
        <w:rPr>
          <w:b/>
        </w:rPr>
        <w:t>Mit tartalmaz a támogatás?</w:t>
      </w:r>
    </w:p>
    <w:p w:rsidR="00C168F4" w:rsidRDefault="00541B80">
      <w:pPr>
        <w:pStyle w:val="NormlWeb1"/>
        <w:jc w:val="both"/>
      </w:pPr>
      <w:r>
        <w:t>A programban részt vevők pénzügyi támogatást (ösztöndíjat) kapnak külföldi képzési tevékenységük megvalósításához. Az ösztöndíj összege a tevékenység időtartamától és a választott célországtól függ. A napi megélhetési átalányösszegen kívül a kiutazók egyszeri utazási támogatásban is részesülnek</w:t>
      </w:r>
      <w:r w:rsidR="00714276">
        <w:t>, melynek összege az ELTE székhelye (Budapest) és a fogadó intézmény székhelye közötti távolság alapján kerül kiszámításra.</w:t>
      </w:r>
      <w:r>
        <w:t xml:space="preserve"> </w:t>
      </w:r>
    </w:p>
    <w:p w:rsidR="00C168F4" w:rsidRDefault="00C168F4">
      <w:pPr>
        <w:pStyle w:val="NormlWeb1"/>
        <w:jc w:val="both"/>
      </w:pPr>
      <w:r>
        <w:t>Az Erasmus+ támogatás ösztöndíj, melynek értelmében a kiutazást a munkatárs önálló szervezésben valósítja meg. (Nincs közbeszerzés!)</w:t>
      </w:r>
    </w:p>
    <w:p w:rsidR="00C168F4" w:rsidRDefault="00541B80">
      <w:pPr>
        <w:pStyle w:val="NormlWeb1"/>
        <w:jc w:val="both"/>
      </w:pPr>
      <w:r>
        <w:t>Az Erasmus+ támogatás nem feltétle</w:t>
      </w:r>
      <w:r w:rsidR="00714276">
        <w:t xml:space="preserve">nül fedezi a kiutazás és a </w:t>
      </w:r>
      <w:proofErr w:type="spellStart"/>
      <w:r w:rsidR="00714276">
        <w:t>kint</w:t>
      </w:r>
      <w:r>
        <w:t>tartózkodás</w:t>
      </w:r>
      <w:proofErr w:type="spellEnd"/>
      <w:r>
        <w:t xml:space="preserve"> költségeit, csupán hozzájárul a külföldi szakmai út megvalósításához. </w:t>
      </w:r>
    </w:p>
    <w:p w:rsidR="00541B80" w:rsidRDefault="00541B80">
      <w:pPr>
        <w:pStyle w:val="NormlWeb1"/>
        <w:jc w:val="both"/>
      </w:pPr>
      <w:r>
        <w:t xml:space="preserve">Az ösztöndíj felhasználásáról a nyertes pályázó nem tartozik tételes elszámolással, így utazását, valamint annak szervezését egyéni hatáskörben intézi. Amennyiben a pályázó a fogadó egyetem alkalmazottja, vagy a fogadó egyetem részben vagy egészben finanszírozza a kiutazás és/vagy a </w:t>
      </w:r>
      <w:proofErr w:type="spellStart"/>
      <w:r>
        <w:t>kin</w:t>
      </w:r>
      <w:r w:rsidR="00096FE3">
        <w:t>t</w:t>
      </w:r>
      <w:r>
        <w:t>tartózkodás</w:t>
      </w:r>
      <w:proofErr w:type="spellEnd"/>
      <w:r>
        <w:t xml:space="preserve"> költségeit, akkor Erasmus+ ösztöndíjra </w:t>
      </w:r>
      <w:r w:rsidR="00714276">
        <w:t>nem jogosult!</w:t>
      </w:r>
      <w:r>
        <w:t xml:space="preserve"> Szintén kizáró ok, ha a tevékenység</w:t>
      </w:r>
      <w:r w:rsidR="00057A1F">
        <w:t xml:space="preserve"> más EU-s forrásból is</w:t>
      </w:r>
      <w:r w:rsidR="00E912B5">
        <w:t xml:space="preserve"> </w:t>
      </w:r>
      <w:r>
        <w:t>finanszírozásra</w:t>
      </w:r>
      <w:r w:rsidR="00057A1F">
        <w:t xml:space="preserve"> kerül</w:t>
      </w:r>
      <w:r>
        <w:t>.</w:t>
      </w:r>
    </w:p>
    <w:p w:rsidR="00541B80" w:rsidRDefault="00541B80">
      <w:pPr>
        <w:pStyle w:val="NormlWeb1"/>
        <w:jc w:val="both"/>
      </w:pPr>
    </w:p>
    <w:p w:rsidR="00541B80" w:rsidRDefault="00541B80">
      <w:pPr>
        <w:pStyle w:val="NormlWeb1"/>
        <w:jc w:val="both"/>
      </w:pPr>
      <w:r>
        <w:t>Az egyes országokban érvényes ösztöndíj</w:t>
      </w:r>
      <w:r w:rsidR="00714276">
        <w:t xml:space="preserve">ak </w:t>
      </w:r>
      <w:r>
        <w:t>összege, valamint az utazási támogatás mértéke a következő:</w:t>
      </w:r>
    </w:p>
    <w:p w:rsidR="00541B80" w:rsidRDefault="00541B80">
      <w:pPr>
        <w:pStyle w:val="NormlWeb1"/>
        <w:jc w:val="both"/>
      </w:pPr>
    </w:p>
    <w:tbl>
      <w:tblPr>
        <w:tblW w:w="61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417"/>
      </w:tblGrid>
      <w:tr w:rsidR="00714276" w:rsidRPr="007E6697" w:rsidTr="001A1DA3">
        <w:trPr>
          <w:trHeight w:val="227"/>
        </w:trPr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714276" w:rsidRPr="007E6697" w:rsidRDefault="00714276" w:rsidP="00EF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669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CÉLORSZÁG 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714276" w:rsidRPr="007E6697" w:rsidRDefault="00714276" w:rsidP="00EF10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NAPIDÍJ</w:t>
            </w:r>
          </w:p>
        </w:tc>
      </w:tr>
      <w:tr w:rsidR="00714276" w:rsidRPr="007E6697" w:rsidTr="001A1DA3">
        <w:trPr>
          <w:trHeight w:val="227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Ausztria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Bulgária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Ciprus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Cseh Köztársaság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Dánia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Egyesült Királyság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Észtország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Görögország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Finnország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Franciaország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Hollandia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Horvátország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Írország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Izland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Lengyelország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Lettország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Liechtenstein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Litvánia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Luxemburg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EF10E5" w:rsidRDefault="00714276" w:rsidP="00EF10E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83692">
              <w:rPr>
                <w:color w:val="000000"/>
                <w:sz w:val="20"/>
                <w:szCs w:val="20"/>
              </w:rPr>
              <w:t>Maced</w:t>
            </w:r>
            <w:r>
              <w:rPr>
                <w:color w:val="000000"/>
                <w:sz w:val="20"/>
                <w:szCs w:val="20"/>
              </w:rPr>
              <w:t>ó</w:t>
            </w:r>
            <w:r w:rsidRPr="005D14EA">
              <w:rPr>
                <w:color w:val="000000"/>
                <w:sz w:val="20"/>
                <w:szCs w:val="20"/>
              </w:rPr>
              <w:t>nia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Málta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Németország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Norvégia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Olaszország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Portugália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Románia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Spanyolország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Svédország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B4082C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</w:tcPr>
          <w:p w:rsidR="00B4082C" w:rsidRPr="007E6697" w:rsidRDefault="00B4082C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Szerbia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082C" w:rsidRPr="007E6697" w:rsidRDefault="00B4082C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>,00 €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Szlovákia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Szlovénia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14276" w:rsidRPr="007E6697" w:rsidTr="001A1DA3">
        <w:trPr>
          <w:trHeight w:val="238"/>
        </w:trPr>
        <w:tc>
          <w:tcPr>
            <w:tcW w:w="3694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Törökország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7E6697">
              <w:rPr>
                <w:color w:val="000000"/>
                <w:sz w:val="20"/>
                <w:szCs w:val="20"/>
              </w:rPr>
              <w:t xml:space="preserve">,00 € </w:t>
            </w:r>
          </w:p>
        </w:tc>
      </w:tr>
    </w:tbl>
    <w:p w:rsidR="00714276" w:rsidRPr="007E6697" w:rsidRDefault="00714276" w:rsidP="00714276">
      <w:pPr>
        <w:pStyle w:val="NormlWeb"/>
        <w:spacing w:before="0" w:beforeAutospacing="0" w:after="0" w:afterAutospacing="0"/>
        <w:jc w:val="both"/>
      </w:pPr>
    </w:p>
    <w:tbl>
      <w:tblPr>
        <w:tblW w:w="61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3056"/>
      </w:tblGrid>
      <w:tr w:rsidR="00714276" w:rsidRPr="007E6697" w:rsidTr="001A1DA3">
        <w:trPr>
          <w:trHeight w:val="315"/>
        </w:trPr>
        <w:tc>
          <w:tcPr>
            <w:tcW w:w="3055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276" w:rsidRPr="007E6697" w:rsidRDefault="00714276" w:rsidP="00EF1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97">
              <w:rPr>
                <w:b/>
                <w:bCs/>
                <w:color w:val="000000"/>
                <w:sz w:val="20"/>
                <w:szCs w:val="20"/>
              </w:rPr>
              <w:t>TÁVOLSÁG</w:t>
            </w:r>
          </w:p>
        </w:tc>
        <w:tc>
          <w:tcPr>
            <w:tcW w:w="3056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276" w:rsidRPr="007E6697" w:rsidRDefault="00714276" w:rsidP="00EF1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97">
              <w:rPr>
                <w:b/>
                <w:bCs/>
                <w:color w:val="000000"/>
                <w:sz w:val="20"/>
                <w:szCs w:val="20"/>
              </w:rPr>
              <w:t>UTAZÁSI KÖLTSÉG</w:t>
            </w:r>
          </w:p>
        </w:tc>
      </w:tr>
      <w:tr w:rsidR="00714276" w:rsidRPr="007E6697" w:rsidTr="001A1DA3">
        <w:trPr>
          <w:trHeight w:val="31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10–</w:t>
            </w:r>
            <w:r w:rsidRPr="007E6697">
              <w:rPr>
                <w:color w:val="000000"/>
                <w:sz w:val="20"/>
                <w:szCs w:val="20"/>
              </w:rPr>
              <w:t>99 km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double" w:sz="6" w:space="0" w:color="4F81BD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E6697">
              <w:rPr>
                <w:color w:val="000000"/>
                <w:sz w:val="20"/>
                <w:szCs w:val="20"/>
              </w:rPr>
              <w:t>,00 €</w:t>
            </w:r>
          </w:p>
        </w:tc>
      </w:tr>
      <w:tr w:rsidR="00714276" w:rsidRPr="007E6697" w:rsidTr="001A1DA3">
        <w:trPr>
          <w:trHeight w:val="31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100–499 km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double" w:sz="6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180,00 €</w:t>
            </w:r>
          </w:p>
        </w:tc>
      </w:tr>
      <w:tr w:rsidR="00714276" w:rsidRPr="007E6697" w:rsidTr="001A1DA3">
        <w:trPr>
          <w:trHeight w:val="330"/>
        </w:trPr>
        <w:tc>
          <w:tcPr>
            <w:tcW w:w="3055" w:type="dxa"/>
            <w:tcBorders>
              <w:top w:val="single" w:sz="4" w:space="0" w:color="4F81BD"/>
              <w:left w:val="single" w:sz="8" w:space="0" w:color="auto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500–1999 km</w:t>
            </w:r>
          </w:p>
        </w:tc>
        <w:tc>
          <w:tcPr>
            <w:tcW w:w="3056" w:type="dxa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275,00 €</w:t>
            </w:r>
          </w:p>
        </w:tc>
      </w:tr>
      <w:tr w:rsidR="00714276" w:rsidRPr="007E6697" w:rsidTr="001A1DA3">
        <w:trPr>
          <w:trHeight w:val="330"/>
        </w:trPr>
        <w:tc>
          <w:tcPr>
            <w:tcW w:w="3055" w:type="dxa"/>
            <w:tcBorders>
              <w:top w:val="single" w:sz="4" w:space="0" w:color="4F81BD"/>
              <w:left w:val="single" w:sz="8" w:space="0" w:color="auto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2000–2999 km</w:t>
            </w:r>
          </w:p>
        </w:tc>
        <w:tc>
          <w:tcPr>
            <w:tcW w:w="3056" w:type="dxa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360,00 €</w:t>
            </w:r>
          </w:p>
        </w:tc>
      </w:tr>
      <w:tr w:rsidR="00714276" w:rsidRPr="007E6697" w:rsidTr="001A1DA3">
        <w:trPr>
          <w:trHeight w:val="330"/>
        </w:trPr>
        <w:tc>
          <w:tcPr>
            <w:tcW w:w="3055" w:type="dxa"/>
            <w:tcBorders>
              <w:top w:val="single" w:sz="4" w:space="0" w:color="4F81BD"/>
              <w:left w:val="single" w:sz="8" w:space="0" w:color="auto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3000–3999 km</w:t>
            </w:r>
          </w:p>
        </w:tc>
        <w:tc>
          <w:tcPr>
            <w:tcW w:w="3056" w:type="dxa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530,00 €</w:t>
            </w:r>
          </w:p>
        </w:tc>
      </w:tr>
      <w:tr w:rsidR="00714276" w:rsidRPr="007E6697" w:rsidTr="001A1DA3">
        <w:trPr>
          <w:trHeight w:val="330"/>
        </w:trPr>
        <w:tc>
          <w:tcPr>
            <w:tcW w:w="3055" w:type="dxa"/>
            <w:tcBorders>
              <w:top w:val="single" w:sz="4" w:space="0" w:color="4F81BD"/>
              <w:left w:val="single" w:sz="8" w:space="0" w:color="auto"/>
              <w:bottom w:val="double" w:sz="6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4000–7999 km</w:t>
            </w:r>
          </w:p>
        </w:tc>
        <w:tc>
          <w:tcPr>
            <w:tcW w:w="3056" w:type="dxa"/>
            <w:tcBorders>
              <w:top w:val="single" w:sz="4" w:space="0" w:color="4F81BD"/>
              <w:left w:val="nil"/>
              <w:bottom w:val="double" w:sz="6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820,00 €</w:t>
            </w:r>
          </w:p>
        </w:tc>
      </w:tr>
      <w:tr w:rsidR="00714276" w:rsidRPr="007E6697" w:rsidTr="001A1DA3">
        <w:trPr>
          <w:trHeight w:val="330"/>
        </w:trPr>
        <w:tc>
          <w:tcPr>
            <w:tcW w:w="3055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8000–19999 km</w:t>
            </w:r>
          </w:p>
        </w:tc>
        <w:tc>
          <w:tcPr>
            <w:tcW w:w="305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276" w:rsidRPr="007E6697" w:rsidRDefault="00714276" w:rsidP="00EF10E5">
            <w:pPr>
              <w:jc w:val="center"/>
              <w:rPr>
                <w:color w:val="000000"/>
                <w:sz w:val="20"/>
                <w:szCs w:val="20"/>
              </w:rPr>
            </w:pPr>
            <w:r w:rsidRPr="007E66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E6697">
              <w:rPr>
                <w:color w:val="000000"/>
                <w:sz w:val="20"/>
                <w:szCs w:val="20"/>
              </w:rPr>
              <w:t>00,00 €</w:t>
            </w:r>
          </w:p>
        </w:tc>
      </w:tr>
    </w:tbl>
    <w:p w:rsidR="00541B80" w:rsidRDefault="00541B80">
      <w:pPr>
        <w:pStyle w:val="NormlWeb1"/>
        <w:jc w:val="both"/>
      </w:pPr>
    </w:p>
    <w:p w:rsidR="00C168F4" w:rsidRDefault="00C168F4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541B80" w:rsidRDefault="00541B80">
      <w:pPr>
        <w:pStyle w:val="NormlWeb1"/>
        <w:spacing w:line="288" w:lineRule="auto"/>
        <w:jc w:val="both"/>
        <w:rPr>
          <w:b/>
        </w:rPr>
      </w:pPr>
      <w:r>
        <w:rPr>
          <w:b/>
        </w:rPr>
        <w:lastRenderedPageBreak/>
        <w:t>Pályázati feltételek</w:t>
      </w:r>
      <w:r w:rsidR="002D25FA">
        <w:rPr>
          <w:b/>
        </w:rPr>
        <w:t>:</w:t>
      </w:r>
    </w:p>
    <w:p w:rsidR="002D25FA" w:rsidRDefault="002D25FA">
      <w:pPr>
        <w:pStyle w:val="NormlWeb1"/>
        <w:spacing w:line="288" w:lineRule="auto"/>
        <w:jc w:val="both"/>
      </w:pPr>
      <w:r>
        <w:t>Pályázatot nyújthat be az,</w:t>
      </w:r>
      <w:r w:rsidR="00006763">
        <w:t xml:space="preserve"> aki</w:t>
      </w:r>
    </w:p>
    <w:p w:rsidR="00541B80" w:rsidRDefault="00541B80">
      <w:pPr>
        <w:pStyle w:val="Listaszerbekezds1"/>
        <w:numPr>
          <w:ilvl w:val="0"/>
          <w:numId w:val="2"/>
        </w:numPr>
        <w:jc w:val="both"/>
      </w:pPr>
      <w:r>
        <w:t>magyar állampolgár (vagy huzamos tartózkodási engedéllyel vagy menekültként tartózkodik Magyarországon);</w:t>
      </w:r>
    </w:p>
    <w:p w:rsidR="00541B80" w:rsidRDefault="00541B80">
      <w:pPr>
        <w:pStyle w:val="NormlWeb1"/>
        <w:numPr>
          <w:ilvl w:val="0"/>
          <w:numId w:val="2"/>
        </w:numPr>
        <w:jc w:val="both"/>
      </w:pPr>
      <w:r>
        <w:t>főállású munkatársa az intézménynek</w:t>
      </w:r>
      <w:r w:rsidR="002D25FA">
        <w:t>;</w:t>
      </w:r>
    </w:p>
    <w:p w:rsidR="00541B80" w:rsidRDefault="00541B80">
      <w:pPr>
        <w:pStyle w:val="NormlWeb1"/>
        <w:numPr>
          <w:ilvl w:val="0"/>
          <w:numId w:val="2"/>
        </w:numPr>
        <w:jc w:val="both"/>
      </w:pPr>
      <w:r>
        <w:t>a megadott pályázati határidőn belül a felhívási feltételeknek megfelelő pályázatot nyújt be</w:t>
      </w:r>
      <w:r w:rsidR="00006763">
        <w:t>,</w:t>
      </w:r>
      <w:r>
        <w:t xml:space="preserve"> és </w:t>
      </w:r>
      <w:r w:rsidR="00006763">
        <w:t xml:space="preserve">pozitív elbírálás </w:t>
      </w:r>
      <w:r>
        <w:t>esetén vállalja a tevékenység megvalósítását</w:t>
      </w:r>
      <w:r w:rsidR="00006763">
        <w:t>;</w:t>
      </w:r>
    </w:p>
    <w:p w:rsidR="00541B80" w:rsidRPr="00F520EE" w:rsidRDefault="00541B80">
      <w:pPr>
        <w:pStyle w:val="NormlWeb1"/>
        <w:numPr>
          <w:ilvl w:val="0"/>
          <w:numId w:val="2"/>
        </w:numPr>
        <w:jc w:val="both"/>
        <w:rPr>
          <w:b/>
        </w:rPr>
      </w:pPr>
      <w:r>
        <w:t>vállal ELTE-t népszerűsítő promóciós</w:t>
      </w:r>
      <w:r w:rsidR="00C168F4">
        <w:t xml:space="preserve"> és információgyűjtési</w:t>
      </w:r>
      <w:r>
        <w:t xml:space="preserve"> tevékenységet mobilitása során</w:t>
      </w:r>
      <w:r w:rsidR="00006763">
        <w:t>.</w:t>
      </w:r>
    </w:p>
    <w:p w:rsidR="00DB5EDF" w:rsidRDefault="00DB5EDF" w:rsidP="00F520EE">
      <w:pPr>
        <w:pStyle w:val="NormlWeb1"/>
        <w:ind w:left="720"/>
        <w:jc w:val="both"/>
        <w:rPr>
          <w:b/>
        </w:rPr>
      </w:pPr>
    </w:p>
    <w:p w:rsidR="00541B80" w:rsidRPr="006842FA" w:rsidRDefault="00541B80">
      <w:pPr>
        <w:pStyle w:val="NormlWeb1"/>
        <w:jc w:val="both"/>
      </w:pPr>
      <w:r w:rsidRPr="006842FA">
        <w:rPr>
          <w:b/>
        </w:rPr>
        <w:t xml:space="preserve">Hogyan kell benyújtani a pályázatot? </w:t>
      </w:r>
    </w:p>
    <w:p w:rsidR="00541B80" w:rsidRPr="006842FA" w:rsidRDefault="00541B80">
      <w:pPr>
        <w:pStyle w:val="NormlWeb1"/>
        <w:jc w:val="both"/>
      </w:pPr>
    </w:p>
    <w:p w:rsidR="00541B80" w:rsidRPr="006842FA" w:rsidRDefault="00541B80">
      <w:pPr>
        <w:pStyle w:val="Cmsor3"/>
        <w:numPr>
          <w:ilvl w:val="0"/>
          <w:numId w:val="0"/>
        </w:numPr>
        <w:rPr>
          <w:rFonts w:cs="Times New Roman"/>
        </w:rPr>
      </w:pPr>
      <w:r w:rsidRPr="006842FA">
        <w:rPr>
          <w:rFonts w:cs="Times New Roman"/>
          <w:sz w:val="24"/>
          <w:szCs w:val="24"/>
        </w:rPr>
        <w:t>A pályázat benyújtása az alábbi dokumentumok papíralapon</w:t>
      </w:r>
      <w:r w:rsidR="00917572">
        <w:rPr>
          <w:rFonts w:cs="Times New Roman"/>
          <w:sz w:val="24"/>
          <w:szCs w:val="24"/>
        </w:rPr>
        <w:t xml:space="preserve"> történő leadásával lehetséges:</w:t>
      </w:r>
    </w:p>
    <w:p w:rsidR="00541B80" w:rsidRPr="006842FA" w:rsidRDefault="00541B80"/>
    <w:p w:rsidR="00541B80" w:rsidRPr="006842FA" w:rsidRDefault="00541B80" w:rsidP="004040DA">
      <w:pPr>
        <w:pStyle w:val="Cmsor4"/>
        <w:numPr>
          <w:ilvl w:val="0"/>
          <w:numId w:val="2"/>
        </w:numPr>
        <w:spacing w:before="0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>kitöltött pályázati űrlap,</w:t>
      </w:r>
    </w:p>
    <w:p w:rsidR="00541B80" w:rsidRPr="006842FA" w:rsidRDefault="00541B80" w:rsidP="00C168F4">
      <w:pPr>
        <w:pStyle w:val="Cmsor4"/>
        <w:numPr>
          <w:ilvl w:val="0"/>
          <w:numId w:val="2"/>
        </w:numPr>
        <w:spacing w:before="0"/>
        <w:ind w:left="714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>partneregyetem/fogadó intézmény „meghívólevele”</w:t>
      </w:r>
      <w:r w:rsidR="00006763">
        <w:rPr>
          <w:rFonts w:cs="Times New Roman"/>
          <w:sz w:val="24"/>
          <w:szCs w:val="24"/>
        </w:rPr>
        <w:t>,</w:t>
      </w:r>
      <w:r w:rsidRPr="006842FA">
        <w:rPr>
          <w:rFonts w:cs="Times New Roman"/>
          <w:sz w:val="24"/>
          <w:szCs w:val="24"/>
        </w:rPr>
        <w:t xml:space="preserve"> mely tartalmazza </w:t>
      </w:r>
    </w:p>
    <w:p w:rsidR="00541B80" w:rsidRPr="006842FA" w:rsidRDefault="00541B80" w:rsidP="00C168F4">
      <w:pPr>
        <w:pStyle w:val="Cmsor4"/>
        <w:numPr>
          <w:ilvl w:val="0"/>
          <w:numId w:val="8"/>
        </w:numPr>
        <w:spacing w:before="0"/>
        <w:ind w:left="1491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 xml:space="preserve">a partneregyetem/fogadó fél nevét, </w:t>
      </w:r>
    </w:p>
    <w:p w:rsidR="00541B80" w:rsidRPr="006842FA" w:rsidRDefault="00541B80" w:rsidP="00C168F4">
      <w:pPr>
        <w:pStyle w:val="Cmsor4"/>
        <w:numPr>
          <w:ilvl w:val="0"/>
          <w:numId w:val="8"/>
        </w:numPr>
        <w:spacing w:before="0"/>
        <w:ind w:left="1491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 xml:space="preserve">a tervezett tevékenység leírását, </w:t>
      </w:r>
    </w:p>
    <w:p w:rsidR="00541B80" w:rsidRDefault="00541B80" w:rsidP="00C168F4">
      <w:pPr>
        <w:pStyle w:val="Cmsor4"/>
        <w:numPr>
          <w:ilvl w:val="0"/>
          <w:numId w:val="8"/>
        </w:numPr>
        <w:spacing w:before="0"/>
        <w:ind w:left="1491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 xml:space="preserve">a partnerintézmény illetékes képviselőjének aláírását és pecsétjét (ez </w:t>
      </w:r>
      <w:r w:rsidR="00006763">
        <w:rPr>
          <w:rFonts w:cs="Times New Roman"/>
          <w:sz w:val="24"/>
          <w:szCs w:val="24"/>
        </w:rPr>
        <w:t xml:space="preserve">utólag is </w:t>
      </w:r>
      <w:r w:rsidRPr="006842FA">
        <w:rPr>
          <w:rFonts w:cs="Times New Roman"/>
          <w:sz w:val="24"/>
          <w:szCs w:val="24"/>
        </w:rPr>
        <w:t xml:space="preserve">pótolható, ha a pályázat beadásának </w:t>
      </w:r>
      <w:proofErr w:type="spellStart"/>
      <w:r w:rsidRPr="006842FA">
        <w:rPr>
          <w:rFonts w:cs="Times New Roman"/>
          <w:sz w:val="24"/>
          <w:szCs w:val="24"/>
        </w:rPr>
        <w:t>határidejéig</w:t>
      </w:r>
      <w:proofErr w:type="spellEnd"/>
      <w:r w:rsidRPr="006842FA">
        <w:rPr>
          <w:rFonts w:cs="Times New Roman"/>
          <w:sz w:val="24"/>
          <w:szCs w:val="24"/>
        </w:rPr>
        <w:t xml:space="preserve"> nem áll rendelkezésre, illetve egy visszaigazoló e-mail is elfogadható</w:t>
      </w:r>
      <w:r w:rsidR="00006763">
        <w:rPr>
          <w:rFonts w:cs="Times New Roman"/>
          <w:sz w:val="24"/>
          <w:szCs w:val="24"/>
        </w:rPr>
        <w:t xml:space="preserve">, mely </w:t>
      </w:r>
      <w:r w:rsidR="00152BEE">
        <w:rPr>
          <w:rFonts w:cs="Times New Roman"/>
          <w:sz w:val="24"/>
          <w:szCs w:val="24"/>
        </w:rPr>
        <w:t>kifejezi</w:t>
      </w:r>
      <w:r w:rsidRPr="006842FA">
        <w:rPr>
          <w:rFonts w:cs="Times New Roman"/>
          <w:sz w:val="24"/>
          <w:szCs w:val="24"/>
        </w:rPr>
        <w:t xml:space="preserve"> a külföldi intézmény fogadó</w:t>
      </w:r>
      <w:r w:rsidR="00652198">
        <w:rPr>
          <w:rFonts w:cs="Times New Roman"/>
          <w:sz w:val="24"/>
          <w:szCs w:val="24"/>
        </w:rPr>
        <w:t>k</w:t>
      </w:r>
      <w:r w:rsidRPr="006842FA">
        <w:rPr>
          <w:rFonts w:cs="Times New Roman"/>
          <w:sz w:val="24"/>
          <w:szCs w:val="24"/>
        </w:rPr>
        <w:t>é</w:t>
      </w:r>
      <w:r w:rsidR="00652198">
        <w:rPr>
          <w:rFonts w:cs="Times New Roman"/>
          <w:sz w:val="24"/>
          <w:szCs w:val="24"/>
        </w:rPr>
        <w:t>s</w:t>
      </w:r>
      <w:r w:rsidRPr="006842FA">
        <w:rPr>
          <w:rFonts w:cs="Times New Roman"/>
          <w:sz w:val="24"/>
          <w:szCs w:val="24"/>
        </w:rPr>
        <w:t>zségét)</w:t>
      </w:r>
      <w:r w:rsidR="00006763">
        <w:rPr>
          <w:rFonts w:cs="Times New Roman"/>
          <w:sz w:val="24"/>
          <w:szCs w:val="24"/>
        </w:rPr>
        <w:t>,</w:t>
      </w:r>
    </w:p>
    <w:p w:rsidR="00541B80" w:rsidRPr="00F520EE" w:rsidRDefault="00F520EE" w:rsidP="00C168F4">
      <w:pPr>
        <w:pStyle w:val="Szvegtrzs"/>
        <w:numPr>
          <w:ilvl w:val="0"/>
          <w:numId w:val="2"/>
        </w:numPr>
        <w:spacing w:after="0"/>
      </w:pPr>
      <w:r>
        <w:t>s</w:t>
      </w:r>
      <w:r w:rsidR="00652198">
        <w:t>zakmai önéletrajz</w:t>
      </w:r>
      <w:r w:rsidR="00006763">
        <w:t>,</w:t>
      </w:r>
    </w:p>
    <w:p w:rsidR="00541B80" w:rsidRPr="006842FA" w:rsidRDefault="00541B80">
      <w:pPr>
        <w:pStyle w:val="Cmsor4"/>
        <w:numPr>
          <w:ilvl w:val="0"/>
          <w:numId w:val="2"/>
        </w:numPr>
        <w:spacing w:before="0"/>
        <w:rPr>
          <w:rFonts w:cs="Times New Roman"/>
        </w:rPr>
      </w:pPr>
      <w:r w:rsidRPr="006842FA">
        <w:rPr>
          <w:rFonts w:cs="Times New Roman"/>
          <w:sz w:val="24"/>
          <w:szCs w:val="24"/>
        </w:rPr>
        <w:t>nem magyar állampolgárság esetén letelepedési/tartózkodási engedély másolata</w:t>
      </w:r>
      <w:r w:rsidR="00006763">
        <w:rPr>
          <w:rFonts w:cs="Times New Roman"/>
          <w:sz w:val="24"/>
          <w:szCs w:val="24"/>
        </w:rPr>
        <w:t>.</w:t>
      </w:r>
    </w:p>
    <w:p w:rsidR="00541B80" w:rsidRPr="006842FA" w:rsidRDefault="00541B80"/>
    <w:p w:rsidR="0003346A" w:rsidRDefault="00541B80">
      <w:pPr>
        <w:spacing w:before="120"/>
        <w:jc w:val="both"/>
      </w:pPr>
      <w:r w:rsidRPr="006842FA">
        <w:t xml:space="preserve">A </w:t>
      </w:r>
      <w:r w:rsidR="00006763" w:rsidRPr="00B2396F">
        <w:t>hamis adatokat tartalmazó,</w:t>
      </w:r>
      <w:r w:rsidR="00006763">
        <w:t xml:space="preserve"> </w:t>
      </w:r>
      <w:r w:rsidRPr="006842FA">
        <w:t xml:space="preserve">hiányos, </w:t>
      </w:r>
      <w:r w:rsidR="0003346A">
        <w:t xml:space="preserve">a </w:t>
      </w:r>
      <w:r w:rsidRPr="006842FA">
        <w:t xml:space="preserve">feltételeknek nem megfelelő, </w:t>
      </w:r>
      <w:r w:rsidR="00F91D0C">
        <w:t>nem számítógéppel kitöltött</w:t>
      </w:r>
      <w:r w:rsidRPr="006842FA">
        <w:t xml:space="preserve"> vagy határidő után érkező pályázatok nem </w:t>
      </w:r>
      <w:proofErr w:type="spellStart"/>
      <w:r w:rsidRPr="006842FA">
        <w:t>fogadhatóak</w:t>
      </w:r>
      <w:proofErr w:type="spellEnd"/>
      <w:r w:rsidRPr="006842FA">
        <w:t xml:space="preserve"> el. </w:t>
      </w:r>
    </w:p>
    <w:p w:rsidR="0003346A" w:rsidRDefault="00541B80">
      <w:pPr>
        <w:spacing w:before="120"/>
        <w:jc w:val="both"/>
        <w:rPr>
          <w:b/>
        </w:rPr>
      </w:pPr>
      <w:r w:rsidRPr="006842FA">
        <w:rPr>
          <w:shd w:val="clear" w:color="auto" w:fill="FFFFFF"/>
        </w:rPr>
        <w:t>A fogyatékkal élő vagy tartósan beteg pályázók kiegészítő támogatásra pályázhatnak.</w:t>
      </w:r>
      <w:r w:rsidR="0003698E" w:rsidRPr="0003698E">
        <w:rPr>
          <w:b/>
        </w:rPr>
        <w:t xml:space="preserve"> </w:t>
      </w:r>
    </w:p>
    <w:p w:rsidR="00541B80" w:rsidRPr="004040DA" w:rsidRDefault="0003698E">
      <w:pPr>
        <w:spacing w:before="120"/>
        <w:jc w:val="both"/>
      </w:pPr>
      <w:r w:rsidRPr="00C168F4">
        <w:t>A pályázatokat a karokon dolgozó munkatársak a kari Erasmus+ koordinátor</w:t>
      </w:r>
      <w:r w:rsidR="0003346A" w:rsidRPr="00C168F4">
        <w:t>nak</w:t>
      </w:r>
      <w:r w:rsidRPr="00C168F4">
        <w:t xml:space="preserve">, a központi egységeknél dolgozó munkatársak </w:t>
      </w:r>
      <w:r w:rsidR="00AD5183">
        <w:t>Vági Borbála gyakornoknak</w:t>
      </w:r>
      <w:r w:rsidRPr="00C168F4">
        <w:t xml:space="preserve"> adják le.</w:t>
      </w:r>
    </w:p>
    <w:p w:rsidR="00541B80" w:rsidRDefault="00541B80" w:rsidP="00C168F4">
      <w:pPr>
        <w:spacing w:before="120"/>
        <w:jc w:val="both"/>
      </w:pPr>
      <w:r w:rsidRPr="006842FA">
        <w:t>A pályáz</w:t>
      </w:r>
      <w:r w:rsidR="005269DC">
        <w:t>atok elkészítésével kapcsolatos</w:t>
      </w:r>
      <w:r w:rsidRPr="006842FA">
        <w:t xml:space="preserve"> kérdésekben a kari </w:t>
      </w:r>
      <w:r w:rsidR="00652198">
        <w:t xml:space="preserve">Erasmus+ </w:t>
      </w:r>
      <w:r w:rsidRPr="006842FA">
        <w:t>koordinátorok</w:t>
      </w:r>
      <w:r w:rsidR="00652198">
        <w:t xml:space="preserve"> </w:t>
      </w:r>
      <w:r w:rsidR="00517824" w:rsidRPr="00517824">
        <w:t xml:space="preserve">állnak rendelkezésükre, központi egységeknél dolgozó munkatársak esetén pedig </w:t>
      </w:r>
      <w:r w:rsidR="00AD5183">
        <w:t>Vági Borbála</w:t>
      </w:r>
      <w:r w:rsidR="00517824" w:rsidRPr="00517824">
        <w:t xml:space="preserve"> (</w:t>
      </w:r>
      <w:hyperlink r:id="rId9" w:history="1">
        <w:r w:rsidR="00AD5183" w:rsidRPr="001B1341">
          <w:rPr>
            <w:rStyle w:val="Hiperhivatkozs"/>
          </w:rPr>
          <w:t>borbala.vagi@dep.elte.hu</w:t>
        </w:r>
      </w:hyperlink>
      <w:r w:rsidR="00517824" w:rsidRPr="00517824">
        <w:t xml:space="preserve">) </w:t>
      </w:r>
      <w:r w:rsidR="00AD5183">
        <w:t>gyakornokot</w:t>
      </w:r>
      <w:r w:rsidR="00517824" w:rsidRPr="00517824">
        <w:t xml:space="preserve"> tudják keresni.</w:t>
      </w:r>
    </w:p>
    <w:p w:rsidR="006842FA" w:rsidRDefault="006842FA">
      <w:pPr>
        <w:jc w:val="both"/>
      </w:pPr>
    </w:p>
    <w:p w:rsidR="006842FA" w:rsidRPr="006842FA" w:rsidRDefault="006842FA" w:rsidP="006842FA">
      <w:pPr>
        <w:pStyle w:val="Cmsor4"/>
        <w:tabs>
          <w:tab w:val="clear" w:pos="0"/>
        </w:tabs>
        <w:spacing w:before="0"/>
        <w:ind w:left="0" w:firstLine="0"/>
        <w:rPr>
          <w:b/>
        </w:rPr>
      </w:pPr>
      <w:r w:rsidRPr="006842FA">
        <w:rPr>
          <w:b/>
        </w:rPr>
        <w:t>A pályázat benyújtásának határideje:</w:t>
      </w:r>
    </w:p>
    <w:p w:rsidR="006842FA" w:rsidRPr="007E6697" w:rsidRDefault="006842FA" w:rsidP="006842FA">
      <w:pPr>
        <w:pStyle w:val="Cmsor4"/>
        <w:tabs>
          <w:tab w:val="clear" w:pos="0"/>
        </w:tabs>
        <w:spacing w:before="0"/>
        <w:ind w:firstLine="0"/>
      </w:pPr>
    </w:p>
    <w:p w:rsidR="00DB5EDF" w:rsidRPr="006842FA" w:rsidRDefault="002444C6" w:rsidP="00F520EE">
      <w:pPr>
        <w:spacing w:before="120"/>
        <w:jc w:val="both"/>
      </w:pPr>
      <w:r>
        <w:t xml:space="preserve">A pályázatot </w:t>
      </w:r>
      <w:r w:rsidR="0003698E">
        <w:t>a kari</w:t>
      </w:r>
      <w:r>
        <w:t xml:space="preserve"> Erasmus koordinátorhoz, a központi szervezeti egységek esetében </w:t>
      </w:r>
      <w:r w:rsidR="00AD5183">
        <w:t xml:space="preserve">Vági Borbála gyakornokhoz </w:t>
      </w:r>
      <w:r w:rsidR="006842FA" w:rsidRPr="007E6697">
        <w:t xml:space="preserve">kell benyújtani </w:t>
      </w:r>
      <w:r w:rsidR="00222896">
        <w:rPr>
          <w:b/>
        </w:rPr>
        <w:t>2020</w:t>
      </w:r>
      <w:r w:rsidR="00222896" w:rsidRPr="00F4531C">
        <w:rPr>
          <w:b/>
        </w:rPr>
        <w:t>.</w:t>
      </w:r>
      <w:r w:rsidR="00222896">
        <w:rPr>
          <w:b/>
        </w:rPr>
        <w:t xml:space="preserve"> február 14-től 2020.</w:t>
      </w:r>
      <w:r w:rsidR="00222896" w:rsidRPr="00F4531C">
        <w:rPr>
          <w:b/>
        </w:rPr>
        <w:t xml:space="preserve"> </w:t>
      </w:r>
      <w:r w:rsidR="00222896">
        <w:rPr>
          <w:b/>
        </w:rPr>
        <w:t>április</w:t>
      </w:r>
      <w:r w:rsidR="00222896" w:rsidRPr="00F4531C">
        <w:rPr>
          <w:b/>
        </w:rPr>
        <w:t xml:space="preserve"> </w:t>
      </w:r>
      <w:r w:rsidR="00222896">
        <w:rPr>
          <w:b/>
        </w:rPr>
        <w:t>15</w:t>
      </w:r>
      <w:r w:rsidR="00222896" w:rsidRPr="00F4531C">
        <w:rPr>
          <w:b/>
        </w:rPr>
        <w:t>-ig</w:t>
      </w:r>
      <w:bookmarkStart w:id="0" w:name="_GoBack"/>
      <w:bookmarkEnd w:id="0"/>
      <w:r w:rsidR="0003346A" w:rsidRPr="002444C6">
        <w:t xml:space="preserve">, illetve </w:t>
      </w:r>
      <w:r w:rsidR="006842FA" w:rsidRPr="002444C6">
        <w:t xml:space="preserve">a </w:t>
      </w:r>
      <w:r w:rsidR="0003346A" w:rsidRPr="002444C6">
        <w:t>kar által (</w:t>
      </w:r>
      <w:r w:rsidR="0003698E" w:rsidRPr="002444C6">
        <w:t>honlapon/felhívásban stb.</w:t>
      </w:r>
      <w:r w:rsidR="0003346A" w:rsidRPr="002444C6">
        <w:t>)</w:t>
      </w:r>
      <w:r w:rsidR="006842FA" w:rsidRPr="002444C6">
        <w:t xml:space="preserve"> </w:t>
      </w:r>
      <w:r w:rsidR="0003346A" w:rsidRPr="002444C6">
        <w:t xml:space="preserve">esetlegesen </w:t>
      </w:r>
      <w:r w:rsidR="006842FA" w:rsidRPr="002444C6">
        <w:t>közzétett</w:t>
      </w:r>
      <w:r w:rsidR="0003346A" w:rsidRPr="002444C6">
        <w:t xml:space="preserve">, ettől eltérő </w:t>
      </w:r>
      <w:r w:rsidR="006842FA" w:rsidRPr="002444C6">
        <w:t>határidő</w:t>
      </w:r>
      <w:r w:rsidR="0003346A" w:rsidRPr="002444C6">
        <w:t>ig</w:t>
      </w:r>
      <w:r w:rsidR="00F520EE" w:rsidRPr="002444C6">
        <w:t>.</w:t>
      </w:r>
    </w:p>
    <w:p w:rsidR="00541B80" w:rsidRPr="006842FA" w:rsidRDefault="00541B80"/>
    <w:p w:rsidR="00541B80" w:rsidRPr="006842FA" w:rsidRDefault="0003346A">
      <w:pPr>
        <w:pStyle w:val="Cmsor3"/>
        <w:numPr>
          <w:ilvl w:val="0"/>
          <w:numId w:val="0"/>
        </w:numPr>
        <w:spacing w:after="120"/>
        <w:rPr>
          <w:rFonts w:cs="Times New Roman"/>
          <w:b/>
          <w:sz w:val="24"/>
          <w:szCs w:val="24"/>
        </w:rPr>
      </w:pPr>
      <w:r w:rsidRPr="0003346A">
        <w:rPr>
          <w:rFonts w:cs="Times New Roman"/>
          <w:b/>
          <w:sz w:val="24"/>
          <w:szCs w:val="24"/>
        </w:rPr>
        <w:t>A b</w:t>
      </w:r>
      <w:r>
        <w:rPr>
          <w:rFonts w:cs="Times New Roman"/>
          <w:b/>
          <w:sz w:val="24"/>
          <w:szCs w:val="24"/>
        </w:rPr>
        <w:t>enyújtott pályázatok elbírálása</w:t>
      </w:r>
    </w:p>
    <w:p w:rsidR="00541B80" w:rsidRPr="004040DA" w:rsidRDefault="0003346A">
      <w:pPr>
        <w:pStyle w:val="Cmsor3"/>
        <w:numPr>
          <w:ilvl w:val="0"/>
          <w:numId w:val="0"/>
        </w:numPr>
        <w:spacing w:after="120"/>
        <w:rPr>
          <w:rFonts w:cs="Times New Roman"/>
          <w:sz w:val="24"/>
          <w:szCs w:val="24"/>
        </w:rPr>
      </w:pPr>
      <w:proofErr w:type="gramStart"/>
      <w:r w:rsidRPr="00C168F4">
        <w:rPr>
          <w:rFonts w:cs="Times New Roman"/>
          <w:sz w:val="24"/>
          <w:szCs w:val="24"/>
        </w:rPr>
        <w:t>a</w:t>
      </w:r>
      <w:proofErr w:type="gramEnd"/>
      <w:r w:rsidRPr="00C168F4">
        <w:rPr>
          <w:rFonts w:cs="Times New Roman"/>
          <w:sz w:val="24"/>
          <w:szCs w:val="24"/>
        </w:rPr>
        <w:t xml:space="preserve">) </w:t>
      </w:r>
      <w:r w:rsidR="00804528">
        <w:rPr>
          <w:rFonts w:cs="Times New Roman"/>
          <w:sz w:val="24"/>
          <w:szCs w:val="24"/>
        </w:rPr>
        <w:t>A</w:t>
      </w:r>
      <w:r w:rsidR="00541B80" w:rsidRPr="00C168F4">
        <w:rPr>
          <w:rFonts w:cs="Times New Roman"/>
          <w:sz w:val="24"/>
          <w:szCs w:val="24"/>
        </w:rPr>
        <w:t xml:space="preserve"> karokon dolgozó munkatársak által benyújtott pályázatok esetében:</w:t>
      </w:r>
    </w:p>
    <w:p w:rsidR="00541B80" w:rsidRPr="006842FA" w:rsidRDefault="00541B80" w:rsidP="00C168F4">
      <w:pPr>
        <w:pStyle w:val="Cmsor4"/>
        <w:numPr>
          <w:ilvl w:val="0"/>
          <w:numId w:val="5"/>
        </w:numPr>
        <w:ind w:left="714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>A formai feltételeknek megfelelő pályázatokat a Kari Bíráló Bizottság (KBB) szakmai és egyéb</w:t>
      </w:r>
      <w:r w:rsidR="0003346A">
        <w:rPr>
          <w:rFonts w:cs="Times New Roman"/>
          <w:sz w:val="24"/>
          <w:szCs w:val="24"/>
        </w:rPr>
        <w:t>,</w:t>
      </w:r>
      <w:r w:rsidRPr="006842FA">
        <w:rPr>
          <w:rFonts w:cs="Times New Roman"/>
          <w:sz w:val="24"/>
          <w:szCs w:val="24"/>
        </w:rPr>
        <w:t xml:space="preserve"> a pályázati felhívásban közzétett szempontokat figyelembe véve értékeli és rangsorolja. A KBB annak a munkatársnak a pályázatát részesíti előnyben, </w:t>
      </w:r>
      <w:r w:rsidR="00752415">
        <w:rPr>
          <w:rFonts w:cs="Times New Roman"/>
          <w:sz w:val="24"/>
          <w:szCs w:val="24"/>
        </w:rPr>
        <w:t>aki korábban nem vett részt</w:t>
      </w:r>
      <w:r w:rsidRPr="006842FA">
        <w:rPr>
          <w:rFonts w:cs="Times New Roman"/>
          <w:sz w:val="24"/>
          <w:szCs w:val="24"/>
        </w:rPr>
        <w:t xml:space="preserve"> az Erasmus+ programban</w:t>
      </w:r>
      <w:r w:rsidR="00CD7769">
        <w:rPr>
          <w:rFonts w:cs="Times New Roman"/>
          <w:sz w:val="24"/>
          <w:szCs w:val="24"/>
        </w:rPr>
        <w:t>, azonban a korábbi részvétel nem kizáró ok az újabb mobilitás elnyerésé</w:t>
      </w:r>
      <w:r w:rsidR="0003346A">
        <w:rPr>
          <w:rFonts w:cs="Times New Roman"/>
          <w:sz w:val="24"/>
          <w:szCs w:val="24"/>
        </w:rPr>
        <w:t>nél</w:t>
      </w:r>
      <w:r w:rsidR="00CD7769">
        <w:rPr>
          <w:rFonts w:cs="Times New Roman"/>
          <w:sz w:val="24"/>
          <w:szCs w:val="24"/>
        </w:rPr>
        <w:t>.</w:t>
      </w:r>
    </w:p>
    <w:p w:rsidR="00541B80" w:rsidRPr="006842FA" w:rsidRDefault="00541B80" w:rsidP="00C168F4">
      <w:pPr>
        <w:pStyle w:val="Cmsor4"/>
        <w:numPr>
          <w:ilvl w:val="0"/>
          <w:numId w:val="5"/>
        </w:numPr>
        <w:ind w:left="714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lastRenderedPageBreak/>
        <w:t>A munkatársi rangsort a KBB a Hallgatói és Oktatói Mobilit</w:t>
      </w:r>
      <w:r w:rsidR="00C216E9">
        <w:rPr>
          <w:rFonts w:cs="Times New Roman"/>
          <w:sz w:val="24"/>
          <w:szCs w:val="24"/>
        </w:rPr>
        <w:t xml:space="preserve">ási Bizottság (HOMB) részére </w:t>
      </w:r>
      <w:r w:rsidRPr="006842FA">
        <w:rPr>
          <w:rFonts w:cs="Times New Roman"/>
          <w:sz w:val="24"/>
          <w:szCs w:val="24"/>
        </w:rPr>
        <w:t>küldi</w:t>
      </w:r>
      <w:r w:rsidR="00C216E9">
        <w:rPr>
          <w:rFonts w:cs="Times New Roman"/>
          <w:sz w:val="24"/>
          <w:szCs w:val="24"/>
        </w:rPr>
        <w:t xml:space="preserve"> meg</w:t>
      </w:r>
      <w:r w:rsidR="004040DA">
        <w:rPr>
          <w:rFonts w:cs="Times New Roman"/>
          <w:sz w:val="24"/>
          <w:szCs w:val="24"/>
        </w:rPr>
        <w:t>.</w:t>
      </w:r>
    </w:p>
    <w:p w:rsidR="00541B80" w:rsidRPr="006842FA" w:rsidRDefault="00541B80">
      <w:pPr>
        <w:pStyle w:val="Cmsor4"/>
        <w:tabs>
          <w:tab w:val="clear" w:pos="0"/>
        </w:tabs>
        <w:spacing w:before="0"/>
        <w:ind w:firstLine="0"/>
        <w:rPr>
          <w:rFonts w:cs="Times New Roman"/>
          <w:sz w:val="24"/>
          <w:szCs w:val="24"/>
        </w:rPr>
      </w:pPr>
    </w:p>
    <w:p w:rsidR="00541B80" w:rsidRPr="004040DA" w:rsidRDefault="00C54927">
      <w:r w:rsidRPr="00C168F4">
        <w:t xml:space="preserve">b) </w:t>
      </w:r>
      <w:r w:rsidR="00541B80" w:rsidRPr="00C168F4">
        <w:t>A központi egységeknél dolgozó munkatársak esetében</w:t>
      </w:r>
    </w:p>
    <w:p w:rsidR="00541B80" w:rsidRPr="006842FA" w:rsidRDefault="00541B80" w:rsidP="00C168F4">
      <w:pPr>
        <w:pStyle w:val="Cmsor4"/>
        <w:numPr>
          <w:ilvl w:val="0"/>
          <w:numId w:val="5"/>
        </w:numPr>
        <w:ind w:left="714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 xml:space="preserve">A Hallgatói és Oktatói Mobilitási Bizottság (HOMB) részére a központi egységeknél dolgozó munkatársak pályázatait összefoglaló előterjesztést az intézményi Erasmus+ </w:t>
      </w:r>
      <w:r w:rsidR="00CD7769">
        <w:rPr>
          <w:rFonts w:cs="Times New Roman"/>
          <w:sz w:val="24"/>
          <w:szCs w:val="24"/>
        </w:rPr>
        <w:t>k</w:t>
      </w:r>
      <w:r w:rsidRPr="006842FA">
        <w:rPr>
          <w:rFonts w:cs="Times New Roman"/>
          <w:sz w:val="24"/>
          <w:szCs w:val="24"/>
        </w:rPr>
        <w:t>oordinátor készíti el, melyet a Rektori Kabinet vezetője hagy jóvá.</w:t>
      </w:r>
    </w:p>
    <w:p w:rsidR="00C54927" w:rsidRDefault="00541B80" w:rsidP="00C168F4">
      <w:pPr>
        <w:pStyle w:val="Cmsor4"/>
        <w:numPr>
          <w:ilvl w:val="0"/>
          <w:numId w:val="5"/>
        </w:numPr>
        <w:ind w:left="714" w:hanging="357"/>
        <w:rPr>
          <w:rFonts w:cs="Times New Roman"/>
          <w:sz w:val="24"/>
          <w:szCs w:val="24"/>
        </w:rPr>
      </w:pPr>
      <w:r w:rsidRPr="006842FA">
        <w:rPr>
          <w:rFonts w:cs="Times New Roman"/>
          <w:sz w:val="24"/>
          <w:szCs w:val="24"/>
        </w:rPr>
        <w:t xml:space="preserve">A rangsor a pályázati felhívásban található bírálati szempontok, illetve az ELTE Intézményi </w:t>
      </w:r>
      <w:r w:rsidR="00C54927">
        <w:rPr>
          <w:rFonts w:cs="Times New Roman"/>
          <w:sz w:val="24"/>
          <w:szCs w:val="24"/>
        </w:rPr>
        <w:t>f</w:t>
      </w:r>
      <w:r w:rsidRPr="006842FA">
        <w:rPr>
          <w:rFonts w:cs="Times New Roman"/>
          <w:sz w:val="24"/>
          <w:szCs w:val="24"/>
        </w:rPr>
        <w:t>ejlesztési tervében foglalt</w:t>
      </w:r>
      <w:r w:rsidR="00804528">
        <w:rPr>
          <w:rFonts w:cs="Times New Roman"/>
          <w:sz w:val="24"/>
          <w:szCs w:val="24"/>
        </w:rPr>
        <w:t xml:space="preserve"> </w:t>
      </w:r>
      <w:proofErr w:type="spellStart"/>
      <w:r w:rsidRPr="006842FA">
        <w:rPr>
          <w:rFonts w:cs="Times New Roman"/>
          <w:sz w:val="24"/>
          <w:szCs w:val="24"/>
        </w:rPr>
        <w:t>nemzetköziesítési</w:t>
      </w:r>
      <w:proofErr w:type="spellEnd"/>
      <w:r w:rsidRPr="006842FA">
        <w:rPr>
          <w:rFonts w:cs="Times New Roman"/>
          <w:sz w:val="24"/>
          <w:szCs w:val="24"/>
        </w:rPr>
        <w:t xml:space="preserve"> törekvések figyelembevételével kerül előterjesztésre.</w:t>
      </w:r>
    </w:p>
    <w:p w:rsidR="004040DA" w:rsidRDefault="004040DA" w:rsidP="004040DA"/>
    <w:p w:rsidR="00C54927" w:rsidRPr="004040DA" w:rsidRDefault="00C54927" w:rsidP="004040DA">
      <w:r w:rsidRPr="004040DA">
        <w:t>A támogatott pályázatokról szóló végső döntést</w:t>
      </w:r>
      <w:r w:rsidR="004040DA">
        <w:t xml:space="preserve"> a HOMB hozza meg</w:t>
      </w:r>
      <w:r w:rsidR="007870A3">
        <w:t xml:space="preserve"> a bírálati szempontok alapján</w:t>
      </w:r>
      <w:r w:rsidRPr="004040DA">
        <w:t>, az adott évre vonatkozó költségkeretek figyelembevételével.</w:t>
      </w:r>
    </w:p>
    <w:p w:rsidR="00541B80" w:rsidRPr="006842FA" w:rsidRDefault="00541B80"/>
    <w:p w:rsidR="00541B80" w:rsidRDefault="00CD7769" w:rsidP="00C168F4">
      <w:pPr>
        <w:spacing w:after="240"/>
        <w:rPr>
          <w:b/>
        </w:rPr>
      </w:pPr>
      <w:r>
        <w:rPr>
          <w:b/>
        </w:rPr>
        <w:t>A</w:t>
      </w:r>
      <w:r w:rsidR="00626E6C">
        <w:rPr>
          <w:b/>
        </w:rPr>
        <w:t>z</w:t>
      </w:r>
      <w:r>
        <w:rPr>
          <w:b/>
        </w:rPr>
        <w:t xml:space="preserve"> </w:t>
      </w:r>
      <w:r w:rsidR="00626E6C">
        <w:rPr>
          <w:b/>
        </w:rPr>
        <w:t>el</w:t>
      </w:r>
      <w:r>
        <w:rPr>
          <w:b/>
        </w:rPr>
        <w:t xml:space="preserve">bírálás során </w:t>
      </w:r>
      <w:r w:rsidR="00626E6C">
        <w:rPr>
          <w:b/>
        </w:rPr>
        <w:t>figyelembe vett</w:t>
      </w:r>
      <w:r>
        <w:rPr>
          <w:b/>
        </w:rPr>
        <w:t xml:space="preserve"> szempontok</w:t>
      </w:r>
    </w:p>
    <w:p w:rsidR="00626E6C" w:rsidRPr="00DB7FFC" w:rsidRDefault="00626E6C">
      <w:r>
        <w:t>Az elbírálás során előnyt élvez az,</w:t>
      </w:r>
    </w:p>
    <w:p w:rsidR="00541B80" w:rsidRPr="006842FA" w:rsidRDefault="00541B80" w:rsidP="007D302D">
      <w:pPr>
        <w:ind w:left="142" w:hanging="142"/>
      </w:pPr>
    </w:p>
    <w:p w:rsidR="00541B80" w:rsidRPr="006842FA" w:rsidRDefault="00CD7769" w:rsidP="00C168F4">
      <w:pPr>
        <w:pStyle w:val="Cmsor4"/>
        <w:numPr>
          <w:ilvl w:val="0"/>
          <w:numId w:val="5"/>
        </w:numPr>
        <w:spacing w:before="0"/>
        <w:ind w:left="714" w:hanging="357"/>
      </w:pPr>
      <w:r>
        <w:t>aki</w:t>
      </w:r>
      <w:r w:rsidR="00541B80" w:rsidRPr="006842FA">
        <w:t xml:space="preserve"> </w:t>
      </w:r>
      <w:r w:rsidR="007D302D">
        <w:t>még nem vett részt a programban</w:t>
      </w:r>
      <w:r>
        <w:t xml:space="preserve"> </w:t>
      </w:r>
      <w:r w:rsidR="00626E6C">
        <w:t>(</w:t>
      </w:r>
      <w:r>
        <w:t>de a korábbi részvétel nem kizáró ok</w:t>
      </w:r>
      <w:r w:rsidR="00626E6C">
        <w:t>)</w:t>
      </w:r>
      <w:r>
        <w:t>;</w:t>
      </w:r>
    </w:p>
    <w:p w:rsidR="00541B80" w:rsidRPr="00CF7238" w:rsidRDefault="00541B80" w:rsidP="00C168F4">
      <w:pPr>
        <w:pStyle w:val="Cmsor4"/>
        <w:numPr>
          <w:ilvl w:val="0"/>
          <w:numId w:val="5"/>
        </w:numPr>
        <w:spacing w:before="0"/>
        <w:ind w:left="714" w:hanging="357"/>
      </w:pPr>
      <w:r w:rsidRPr="006842FA">
        <w:t>akinek mo</w:t>
      </w:r>
      <w:r w:rsidRPr="004040DA">
        <w:rPr>
          <w:rFonts w:cs="Times New Roman"/>
          <w:sz w:val="24"/>
          <w:szCs w:val="24"/>
        </w:rPr>
        <w:t>bilitási tevékenysége az Erasmus+ program megvalósításához szorosan kapcsolódik</w:t>
      </w:r>
      <w:r w:rsidR="004040DA">
        <w:rPr>
          <w:rFonts w:cs="Times New Roman"/>
          <w:sz w:val="24"/>
          <w:szCs w:val="24"/>
        </w:rPr>
        <w:t>;</w:t>
      </w:r>
    </w:p>
    <w:p w:rsidR="00541B80" w:rsidRPr="00CF7238" w:rsidRDefault="00541B80" w:rsidP="00C168F4">
      <w:pPr>
        <w:pStyle w:val="Cmsor4"/>
        <w:numPr>
          <w:ilvl w:val="0"/>
          <w:numId w:val="5"/>
        </w:numPr>
        <w:spacing w:before="0"/>
        <w:ind w:left="714" w:hanging="357"/>
      </w:pPr>
      <w:r w:rsidRPr="004040DA">
        <w:rPr>
          <w:rFonts w:cs="Times New Roman"/>
          <w:sz w:val="24"/>
          <w:szCs w:val="24"/>
        </w:rPr>
        <w:t>akinek tervezett tevékenysége szorosan kapcsolódik munkavégzéséhez, a külföldi képzés érdemben járul hozzá ahhoz, hogy mindennapi munkavégzése hatékonyabb legyen</w:t>
      </w:r>
      <w:r w:rsidR="004040DA">
        <w:rPr>
          <w:rFonts w:cs="Times New Roman"/>
          <w:sz w:val="24"/>
          <w:szCs w:val="24"/>
        </w:rPr>
        <w:t>;</w:t>
      </w:r>
    </w:p>
    <w:p w:rsidR="00541B80" w:rsidRPr="00CF7238" w:rsidRDefault="00541B80" w:rsidP="00C168F4">
      <w:pPr>
        <w:pStyle w:val="Cmsor4"/>
        <w:numPr>
          <w:ilvl w:val="0"/>
          <w:numId w:val="5"/>
        </w:numPr>
        <w:spacing w:before="0"/>
        <w:ind w:left="714" w:hanging="357"/>
      </w:pPr>
      <w:r w:rsidRPr="004040DA">
        <w:rPr>
          <w:rFonts w:cs="Times New Roman"/>
          <w:sz w:val="24"/>
          <w:szCs w:val="24"/>
        </w:rPr>
        <w:t>akinek tervezett tevékenysége összhangban áll az ELTE aktuális Intézmény</w:t>
      </w:r>
      <w:r w:rsidR="004040DA">
        <w:rPr>
          <w:rFonts w:cs="Times New Roman"/>
          <w:sz w:val="24"/>
          <w:szCs w:val="24"/>
        </w:rPr>
        <w:t xml:space="preserve">i </w:t>
      </w:r>
      <w:r w:rsidRPr="004040DA">
        <w:rPr>
          <w:rFonts w:cs="Times New Roman"/>
          <w:sz w:val="24"/>
          <w:szCs w:val="24"/>
        </w:rPr>
        <w:t xml:space="preserve">fejlesztési </w:t>
      </w:r>
      <w:r w:rsidR="004040DA">
        <w:rPr>
          <w:rFonts w:cs="Times New Roman"/>
          <w:sz w:val="24"/>
          <w:szCs w:val="24"/>
        </w:rPr>
        <w:t>t</w:t>
      </w:r>
      <w:r w:rsidRPr="004040DA">
        <w:rPr>
          <w:rFonts w:cs="Times New Roman"/>
          <w:sz w:val="24"/>
          <w:szCs w:val="24"/>
        </w:rPr>
        <w:t xml:space="preserve">ervében vázolt </w:t>
      </w:r>
      <w:proofErr w:type="spellStart"/>
      <w:r w:rsidRPr="004040DA">
        <w:rPr>
          <w:rFonts w:cs="Times New Roman"/>
          <w:sz w:val="24"/>
          <w:szCs w:val="24"/>
        </w:rPr>
        <w:t>nemzetköziesítési</w:t>
      </w:r>
      <w:proofErr w:type="spellEnd"/>
      <w:r w:rsidRPr="004040DA">
        <w:rPr>
          <w:rFonts w:cs="Times New Roman"/>
          <w:sz w:val="24"/>
          <w:szCs w:val="24"/>
        </w:rPr>
        <w:t xml:space="preserve"> törekvésekkel</w:t>
      </w:r>
      <w:r w:rsidR="004040DA">
        <w:rPr>
          <w:rFonts w:cs="Times New Roman"/>
          <w:sz w:val="24"/>
          <w:szCs w:val="24"/>
        </w:rPr>
        <w:t>;</w:t>
      </w:r>
    </w:p>
    <w:p w:rsidR="00541B80" w:rsidRPr="00CF7238" w:rsidRDefault="00541B80" w:rsidP="00C168F4">
      <w:pPr>
        <w:pStyle w:val="Cmsor4"/>
        <w:numPr>
          <w:ilvl w:val="0"/>
          <w:numId w:val="5"/>
        </w:numPr>
        <w:spacing w:before="0"/>
        <w:ind w:left="714" w:hanging="357"/>
      </w:pPr>
      <w:r w:rsidRPr="004040DA">
        <w:rPr>
          <w:rFonts w:cs="Times New Roman"/>
          <w:sz w:val="24"/>
          <w:szCs w:val="24"/>
        </w:rPr>
        <w:t>akinek megpályázott képzés</w:t>
      </w:r>
      <w:r w:rsidR="004040DA">
        <w:rPr>
          <w:rFonts w:cs="Times New Roman"/>
          <w:sz w:val="24"/>
          <w:szCs w:val="24"/>
        </w:rPr>
        <w:t>e</w:t>
      </w:r>
      <w:r w:rsidRPr="004040DA">
        <w:rPr>
          <w:rFonts w:cs="Times New Roman"/>
          <w:sz w:val="24"/>
          <w:szCs w:val="24"/>
        </w:rPr>
        <w:t xml:space="preserve"> </w:t>
      </w:r>
      <w:r w:rsidR="004040DA">
        <w:rPr>
          <w:rFonts w:cs="Times New Roman"/>
          <w:sz w:val="24"/>
          <w:szCs w:val="24"/>
        </w:rPr>
        <w:t xml:space="preserve">olyan </w:t>
      </w:r>
      <w:r w:rsidR="004040DA" w:rsidRPr="00F53D7A">
        <w:rPr>
          <w:rFonts w:cs="Times New Roman"/>
          <w:sz w:val="24"/>
          <w:szCs w:val="24"/>
        </w:rPr>
        <w:t xml:space="preserve">tudást/információt </w:t>
      </w:r>
      <w:r w:rsidR="004040DA">
        <w:rPr>
          <w:rFonts w:cs="Times New Roman"/>
          <w:sz w:val="24"/>
          <w:szCs w:val="24"/>
        </w:rPr>
        <w:t>nyújt</w:t>
      </w:r>
      <w:r w:rsidR="004040DA" w:rsidRPr="00F53D7A">
        <w:rPr>
          <w:rFonts w:cs="Times New Roman"/>
          <w:sz w:val="24"/>
          <w:szCs w:val="24"/>
        </w:rPr>
        <w:t xml:space="preserve"> a résztvevők</w:t>
      </w:r>
      <w:r w:rsidR="004040DA">
        <w:rPr>
          <w:rFonts w:cs="Times New Roman"/>
          <w:sz w:val="24"/>
          <w:szCs w:val="24"/>
        </w:rPr>
        <w:t>nek,</w:t>
      </w:r>
      <w:r w:rsidRPr="004040DA">
        <w:rPr>
          <w:rFonts w:cs="Times New Roman"/>
          <w:sz w:val="24"/>
          <w:szCs w:val="24"/>
        </w:rPr>
        <w:t xml:space="preserve"> </w:t>
      </w:r>
      <w:r w:rsidR="004040DA">
        <w:rPr>
          <w:rFonts w:cs="Times New Roman"/>
          <w:sz w:val="24"/>
          <w:szCs w:val="24"/>
        </w:rPr>
        <w:t xml:space="preserve">amely </w:t>
      </w:r>
      <w:r w:rsidRPr="004040DA">
        <w:rPr>
          <w:rFonts w:cs="Times New Roman"/>
          <w:sz w:val="24"/>
          <w:szCs w:val="24"/>
        </w:rPr>
        <w:t>az ELTE-n szükséges/hiányz</w:t>
      </w:r>
      <w:r w:rsidR="004040DA">
        <w:rPr>
          <w:rFonts w:cs="Times New Roman"/>
          <w:sz w:val="24"/>
          <w:szCs w:val="24"/>
        </w:rPr>
        <w:t>ik;</w:t>
      </w:r>
    </w:p>
    <w:p w:rsidR="00541B80" w:rsidRPr="00CF7238" w:rsidRDefault="00541B80" w:rsidP="00C168F4">
      <w:pPr>
        <w:pStyle w:val="Cmsor4"/>
        <w:numPr>
          <w:ilvl w:val="0"/>
          <w:numId w:val="5"/>
        </w:numPr>
        <w:spacing w:before="0"/>
        <w:ind w:left="714" w:hanging="357"/>
      </w:pPr>
      <w:r w:rsidRPr="004040DA">
        <w:rPr>
          <w:rFonts w:cs="Times New Roman"/>
          <w:sz w:val="24"/>
          <w:szCs w:val="24"/>
        </w:rPr>
        <w:t>aki vállalja, hogy a képzésen megszerzett tudást szervezett keretek között megosztja munkatársaival,</w:t>
      </w:r>
    </w:p>
    <w:p w:rsidR="00541B80" w:rsidRPr="006842FA" w:rsidRDefault="00541B80" w:rsidP="00C168F4">
      <w:pPr>
        <w:pStyle w:val="Cmsor4"/>
        <w:numPr>
          <w:ilvl w:val="0"/>
          <w:numId w:val="5"/>
        </w:numPr>
        <w:spacing w:before="0"/>
        <w:ind w:left="714" w:hanging="357"/>
      </w:pPr>
      <w:r w:rsidRPr="004040DA">
        <w:rPr>
          <w:rFonts w:cs="Times New Roman"/>
          <w:sz w:val="24"/>
          <w:szCs w:val="24"/>
        </w:rPr>
        <w:t xml:space="preserve">aki vállal </w:t>
      </w:r>
      <w:r w:rsidR="007870A3">
        <w:rPr>
          <w:rFonts w:cs="Times New Roman"/>
          <w:sz w:val="24"/>
          <w:szCs w:val="24"/>
        </w:rPr>
        <w:t xml:space="preserve">az </w:t>
      </w:r>
      <w:r w:rsidRPr="004040DA">
        <w:rPr>
          <w:rFonts w:cs="Times New Roman"/>
          <w:sz w:val="24"/>
          <w:szCs w:val="24"/>
        </w:rPr>
        <w:t>ELT</w:t>
      </w:r>
      <w:r w:rsidRPr="006842FA">
        <w:t>E-t népszerűsítő promóciós tevékenységet mobilitása során.</w:t>
      </w:r>
    </w:p>
    <w:p w:rsidR="00541B80" w:rsidRPr="006842FA" w:rsidRDefault="00541B80" w:rsidP="007D302D">
      <w:pPr>
        <w:ind w:hanging="284"/>
      </w:pPr>
    </w:p>
    <w:p w:rsidR="00541B80" w:rsidRPr="006842FA" w:rsidRDefault="00541B80">
      <w:pPr>
        <w:pStyle w:val="Cmsor3"/>
        <w:numPr>
          <w:ilvl w:val="0"/>
          <w:numId w:val="0"/>
        </w:numPr>
        <w:rPr>
          <w:rFonts w:cs="Times New Roman"/>
        </w:rPr>
      </w:pPr>
      <w:r w:rsidRPr="006842FA">
        <w:rPr>
          <w:rFonts w:cs="Times New Roman"/>
          <w:b/>
          <w:sz w:val="24"/>
          <w:szCs w:val="24"/>
        </w:rPr>
        <w:t>Eredményhirdetés</w:t>
      </w:r>
      <w:r w:rsidR="00626E6C">
        <w:rPr>
          <w:rFonts w:cs="Times New Roman"/>
          <w:b/>
          <w:sz w:val="24"/>
          <w:szCs w:val="24"/>
        </w:rPr>
        <w:t>, jogorvoslat</w:t>
      </w:r>
    </w:p>
    <w:p w:rsidR="00541B80" w:rsidRPr="006842FA" w:rsidRDefault="00541B80"/>
    <w:p w:rsidR="00CD7769" w:rsidRDefault="00541B80">
      <w:pPr>
        <w:jc w:val="both"/>
      </w:pPr>
      <w:r w:rsidRPr="006842FA">
        <w:t xml:space="preserve">A pályázatok eredményéről a HOMB határozata alapján az illetékes </w:t>
      </w:r>
      <w:r w:rsidR="00626E6C">
        <w:t>k</w:t>
      </w:r>
      <w:r w:rsidRPr="006842FA">
        <w:t xml:space="preserve">ari Erasmus+ koordinátor, illetve a központi egységeknél dolgozó munkatársak esetében </w:t>
      </w:r>
      <w:r w:rsidR="00AD5183">
        <w:t>Vági Borbála gyakornok</w:t>
      </w:r>
      <w:r w:rsidRPr="006842FA">
        <w:t xml:space="preserve"> értesíti a munkatársakat</w:t>
      </w:r>
      <w:r w:rsidR="00626E6C">
        <w:t>,</w:t>
      </w:r>
      <w:r w:rsidRPr="006842FA">
        <w:t xml:space="preserve"> a döntést követő legkésőbb 15 munkanapon belül</w:t>
      </w:r>
      <w:r w:rsidR="005269DC">
        <w:t>.</w:t>
      </w:r>
    </w:p>
    <w:p w:rsidR="00CD7769" w:rsidRDefault="00CD7769">
      <w:pPr>
        <w:jc w:val="both"/>
      </w:pPr>
    </w:p>
    <w:p w:rsidR="00626E6C" w:rsidRDefault="00626E6C" w:rsidP="00626E6C">
      <w:pPr>
        <w:jc w:val="both"/>
      </w:pPr>
      <w:r>
        <w:t xml:space="preserve">A bírálat várható ideje </w:t>
      </w:r>
      <w:r w:rsidR="00AD5183">
        <w:t>2020</w:t>
      </w:r>
      <w:r w:rsidRPr="005D14EA">
        <w:t>.</w:t>
      </w:r>
      <w:r w:rsidR="001A1DA3">
        <w:t xml:space="preserve"> május</w:t>
      </w:r>
      <w:r w:rsidRPr="005D14EA">
        <w:t xml:space="preserve"> </w:t>
      </w:r>
      <w:r w:rsidR="00691BA3">
        <w:t>vége. A mobilitásokat 20</w:t>
      </w:r>
      <w:r w:rsidR="00AD5183">
        <w:t>20</w:t>
      </w:r>
      <w:r>
        <w:t xml:space="preserve">. június 1-től </w:t>
      </w:r>
      <w:r w:rsidR="00DB7FFC">
        <w:t>20</w:t>
      </w:r>
      <w:r w:rsidR="00691BA3">
        <w:t>2</w:t>
      </w:r>
      <w:r w:rsidR="00AD5183">
        <w:t>1</w:t>
      </w:r>
      <w:r w:rsidR="00DB7FFC">
        <w:t xml:space="preserve">. szeptember 30-ig </w:t>
      </w:r>
      <w:r>
        <w:t>lehet megvalósítani.</w:t>
      </w:r>
    </w:p>
    <w:p w:rsidR="00C168F4" w:rsidRPr="00C168F4" w:rsidRDefault="00C168F4" w:rsidP="00C168F4">
      <w:pPr>
        <w:jc w:val="both"/>
        <w:rPr>
          <w:i/>
        </w:rPr>
      </w:pPr>
      <w:r w:rsidRPr="00C168F4">
        <w:rPr>
          <w:i/>
        </w:rPr>
        <w:t>Előfordulhat, hogy a szerződéskötés (adminisztratív okokból) júniusban még nem lehetséges, ezért a júniusi mobilitások általában utólagosan kerülnek finanszírozásra.</w:t>
      </w:r>
    </w:p>
    <w:p w:rsidR="00A208FC" w:rsidRDefault="00A208FC">
      <w:pPr>
        <w:jc w:val="both"/>
      </w:pPr>
    </w:p>
    <w:p w:rsidR="00541B80" w:rsidRPr="006842FA" w:rsidRDefault="00541B80" w:rsidP="00C168F4">
      <w:pPr>
        <w:jc w:val="both"/>
      </w:pPr>
      <w:r w:rsidRPr="006842FA">
        <w:t xml:space="preserve">A döntéssel szembeni jogorvoslatra a </w:t>
      </w:r>
      <w:r w:rsidR="00626E6C">
        <w:t>KBB</w:t>
      </w:r>
      <w:r w:rsidRPr="006842FA">
        <w:t xml:space="preserve"> elnökénél, a központi egységeknél dolgozó munkatársak esetében a felterjesztést aláíró illetékes vezetőnél az értesítést követő</w:t>
      </w:r>
      <w:r w:rsidR="00626E6C">
        <w:t xml:space="preserve"> </w:t>
      </w:r>
      <w:r w:rsidRPr="006842FA">
        <w:t>15 munkanapon belül</w:t>
      </w:r>
      <w:r w:rsidR="003243C8">
        <w:t>,</w:t>
      </w:r>
      <w:r w:rsidRPr="006842FA">
        <w:t xml:space="preserve"> írásban van lehetőség.</w:t>
      </w:r>
    </w:p>
    <w:p w:rsidR="00804528" w:rsidRPr="006842FA" w:rsidRDefault="00804528"/>
    <w:p w:rsidR="00541B80" w:rsidRDefault="00AD5183">
      <w:r>
        <w:t>2020</w:t>
      </w:r>
      <w:r w:rsidR="00541B80" w:rsidRPr="006842FA">
        <w:t xml:space="preserve">. </w:t>
      </w:r>
      <w:r>
        <w:t>január</w:t>
      </w:r>
      <w:r w:rsidR="00691BA3">
        <w:t xml:space="preserve"> 2</w:t>
      </w:r>
      <w:r>
        <w:t>9</w:t>
      </w:r>
      <w:r w:rsidR="00C168F4">
        <w:t>.</w:t>
      </w:r>
    </w:p>
    <w:sectPr w:rsidR="00541B80" w:rsidSect="00E90F1A">
      <w:headerReference w:type="default" r:id="rId10"/>
      <w:pgSz w:w="11906" w:h="16838"/>
      <w:pgMar w:top="1417" w:right="1417" w:bottom="567" w:left="1417" w:header="964" w:footer="73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3C" w:rsidRDefault="00713C3C" w:rsidP="00300079">
      <w:pPr>
        <w:spacing w:line="240" w:lineRule="auto"/>
      </w:pPr>
      <w:r>
        <w:separator/>
      </w:r>
    </w:p>
  </w:endnote>
  <w:endnote w:type="continuationSeparator" w:id="0">
    <w:p w:rsidR="00713C3C" w:rsidRDefault="00713C3C" w:rsidP="00300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3C" w:rsidRDefault="00713C3C" w:rsidP="00300079">
      <w:pPr>
        <w:spacing w:line="240" w:lineRule="auto"/>
      </w:pPr>
      <w:r>
        <w:separator/>
      </w:r>
    </w:p>
  </w:footnote>
  <w:footnote w:type="continuationSeparator" w:id="0">
    <w:p w:rsidR="00713C3C" w:rsidRDefault="00713C3C" w:rsidP="00300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B4" w:rsidRDefault="00705DB4" w:rsidP="00705DB4">
    <w:pPr>
      <w:pStyle w:val="lfej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Cmsor2"/>
      <w:lvlText w:val="%1)"/>
      <w:lvlJc w:val="left"/>
      <w:pPr>
        <w:tabs>
          <w:tab w:val="num" w:pos="0"/>
        </w:tabs>
        <w:ind w:left="1211" w:hanging="36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201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A25057BE"/>
    <w:name w:val="WW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b w:val="0"/>
        <w:i w:val="0"/>
      </w:rPr>
    </w:lvl>
    <w:lvl w:ilvl="1">
      <w:start w:val="1"/>
      <w:numFmt w:val="bullet"/>
      <w:lvlText w:val=""/>
      <w:lvlJc w:val="left"/>
      <w:pPr>
        <w:tabs>
          <w:tab w:val="num" w:pos="0"/>
        </w:tabs>
        <w:ind w:left="201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3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5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7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9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58" w:hanging="180"/>
      </w:pPr>
    </w:lvl>
  </w:abstractNum>
  <w:abstractNum w:abstractNumId="4" w15:restartNumberingAfterBreak="0">
    <w:nsid w:val="00000005"/>
    <w:multiLevelType w:val="multilevel"/>
    <w:tmpl w:val="4AA62642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"/>
      <w:lvlJc w:val="left"/>
      <w:pPr>
        <w:tabs>
          <w:tab w:val="num" w:pos="0"/>
        </w:tabs>
        <w:ind w:left="201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3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5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7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9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58" w:hanging="180"/>
      </w:p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2378" w:hanging="360"/>
      </w:pPr>
      <w:rPr>
        <w:rFonts w:ascii="Times New Roman" w:hAnsi="Times New Roman" w:cs="font3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38" w:hanging="360"/>
      </w:pPr>
      <w:rPr>
        <w:rFonts w:ascii="Wingdings" w:hAnsi="Wingdings"/>
      </w:rPr>
    </w:lvl>
  </w:abstractNum>
  <w:abstractNum w:abstractNumId="6" w15:restartNumberingAfterBreak="0">
    <w:nsid w:val="1EFE2B2F"/>
    <w:multiLevelType w:val="multilevel"/>
    <w:tmpl w:val="DCF05F62"/>
    <w:lvl w:ilvl="0">
      <w:start w:val="1"/>
      <w:numFmt w:val="bullet"/>
      <w:lvlText w:val=""/>
      <w:lvlJc w:val="left"/>
      <w:pPr>
        <w:tabs>
          <w:tab w:val="num" w:pos="0"/>
        </w:tabs>
        <w:ind w:left="23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38" w:hanging="360"/>
      </w:pPr>
      <w:rPr>
        <w:rFonts w:ascii="Wingdings" w:hAnsi="Wingdings"/>
      </w:rPr>
    </w:lvl>
  </w:abstractNum>
  <w:abstractNum w:abstractNumId="7" w15:restartNumberingAfterBreak="0">
    <w:nsid w:val="51294A25"/>
    <w:multiLevelType w:val="multilevel"/>
    <w:tmpl w:val="4536BE74"/>
    <w:lvl w:ilvl="0">
      <w:start w:val="1"/>
      <w:numFmt w:val="bullet"/>
      <w:lvlText w:val="o"/>
      <w:lvlJc w:val="left"/>
      <w:pPr>
        <w:tabs>
          <w:tab w:val="num" w:pos="0"/>
        </w:tabs>
        <w:ind w:left="23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38" w:hanging="360"/>
      </w:pPr>
      <w:rPr>
        <w:rFonts w:ascii="Wingdings" w:hAnsi="Wingdings"/>
      </w:rPr>
    </w:lvl>
  </w:abstractNum>
  <w:abstractNum w:abstractNumId="8" w15:restartNumberingAfterBreak="0">
    <w:nsid w:val="67340EBF"/>
    <w:multiLevelType w:val="hybridMultilevel"/>
    <w:tmpl w:val="282C9D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65978"/>
    <w:multiLevelType w:val="multilevel"/>
    <w:tmpl w:val="4AA62642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"/>
      <w:lvlJc w:val="left"/>
      <w:pPr>
        <w:tabs>
          <w:tab w:val="num" w:pos="0"/>
        </w:tabs>
        <w:ind w:left="201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3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5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7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9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5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B"/>
    <w:rsid w:val="00006763"/>
    <w:rsid w:val="0003346A"/>
    <w:rsid w:val="0003698E"/>
    <w:rsid w:val="00057A1F"/>
    <w:rsid w:val="00096FE3"/>
    <w:rsid w:val="000E54C2"/>
    <w:rsid w:val="00132D37"/>
    <w:rsid w:val="00152BEE"/>
    <w:rsid w:val="001A1DA3"/>
    <w:rsid w:val="001D7BF5"/>
    <w:rsid w:val="00222896"/>
    <w:rsid w:val="00235DA3"/>
    <w:rsid w:val="002444C6"/>
    <w:rsid w:val="002D25FA"/>
    <w:rsid w:val="002F27BF"/>
    <w:rsid w:val="00300079"/>
    <w:rsid w:val="003243C8"/>
    <w:rsid w:val="003A44B5"/>
    <w:rsid w:val="004040DA"/>
    <w:rsid w:val="004A0796"/>
    <w:rsid w:val="00517824"/>
    <w:rsid w:val="005269DC"/>
    <w:rsid w:val="00537648"/>
    <w:rsid w:val="005378EA"/>
    <w:rsid w:val="00541B80"/>
    <w:rsid w:val="005A6AF1"/>
    <w:rsid w:val="00626E6C"/>
    <w:rsid w:val="006301DB"/>
    <w:rsid w:val="00652198"/>
    <w:rsid w:val="006842FA"/>
    <w:rsid w:val="00691BA3"/>
    <w:rsid w:val="006D4BFE"/>
    <w:rsid w:val="00705DB4"/>
    <w:rsid w:val="00713C3C"/>
    <w:rsid w:val="00714276"/>
    <w:rsid w:val="00752415"/>
    <w:rsid w:val="007870A3"/>
    <w:rsid w:val="007D302D"/>
    <w:rsid w:val="00804528"/>
    <w:rsid w:val="00897B66"/>
    <w:rsid w:val="008E4937"/>
    <w:rsid w:val="00917572"/>
    <w:rsid w:val="0099162A"/>
    <w:rsid w:val="00A208FC"/>
    <w:rsid w:val="00AD5183"/>
    <w:rsid w:val="00B23A28"/>
    <w:rsid w:val="00B4082C"/>
    <w:rsid w:val="00B6319F"/>
    <w:rsid w:val="00B827DD"/>
    <w:rsid w:val="00BA0EE7"/>
    <w:rsid w:val="00C168F4"/>
    <w:rsid w:val="00C216E9"/>
    <w:rsid w:val="00C54927"/>
    <w:rsid w:val="00C637F3"/>
    <w:rsid w:val="00CD7769"/>
    <w:rsid w:val="00CF7238"/>
    <w:rsid w:val="00D40336"/>
    <w:rsid w:val="00DB5EDF"/>
    <w:rsid w:val="00DB7FFC"/>
    <w:rsid w:val="00E03B2B"/>
    <w:rsid w:val="00E630D1"/>
    <w:rsid w:val="00E9004E"/>
    <w:rsid w:val="00E90F1A"/>
    <w:rsid w:val="00E912B5"/>
    <w:rsid w:val="00F520EE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5:docId w15:val="{DEA99995-F660-4033-8F9F-B0BDBF4B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qFormat/>
    <w:pPr>
      <w:numPr>
        <w:numId w:val="1"/>
      </w:numPr>
      <w:spacing w:before="120"/>
      <w:jc w:val="both"/>
      <w:outlineLvl w:val="1"/>
    </w:pPr>
    <w:rPr>
      <w:rFonts w:cs="font319"/>
      <w:b/>
      <w:bCs/>
      <w:sz w:val="26"/>
      <w:szCs w:val="26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jc w:val="both"/>
      <w:outlineLvl w:val="2"/>
    </w:pPr>
    <w:rPr>
      <w:rFonts w:cs="font319"/>
      <w:bCs/>
      <w:sz w:val="22"/>
      <w:szCs w:val="22"/>
    </w:rPr>
  </w:style>
  <w:style w:type="paragraph" w:styleId="Cmsor4">
    <w:name w:val="heading 4"/>
    <w:basedOn w:val="Norml"/>
    <w:next w:val="Szvegtrzs"/>
    <w:qFormat/>
    <w:pPr>
      <w:tabs>
        <w:tab w:val="num" w:pos="0"/>
      </w:tabs>
      <w:spacing w:before="120"/>
      <w:ind w:left="1211" w:hanging="360"/>
      <w:jc w:val="both"/>
      <w:outlineLvl w:val="3"/>
    </w:pPr>
    <w:rPr>
      <w:rFonts w:cs="font319"/>
      <w:bCs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Mrltotthiperhivatkozs1">
    <w:name w:val="Már látott hiperhivatkozás1"/>
    <w:rPr>
      <w:color w:val="800080"/>
      <w:u w:val="single"/>
    </w:rPr>
  </w:style>
  <w:style w:type="character" w:customStyle="1" w:styleId="Cmsor2Char">
    <w:name w:val="Címsor 2 Char"/>
    <w:rPr>
      <w:rFonts w:ascii="Times New Roman" w:hAnsi="Times New Roman" w:cs="font319"/>
      <w:b/>
      <w:bCs/>
      <w:sz w:val="26"/>
      <w:szCs w:val="26"/>
    </w:rPr>
  </w:style>
  <w:style w:type="character" w:customStyle="1" w:styleId="Cmsor3Char">
    <w:name w:val="Címsor 3 Char"/>
    <w:rPr>
      <w:rFonts w:ascii="Times New Roman" w:hAnsi="Times New Roman" w:cs="font319"/>
      <w:bCs/>
    </w:rPr>
  </w:style>
  <w:style w:type="character" w:customStyle="1" w:styleId="Cmsor4Char">
    <w:name w:val="Címsor 4 Char"/>
    <w:rPr>
      <w:rFonts w:ascii="Times New Roman" w:hAnsi="Times New Roman" w:cs="font319"/>
      <w:bCs/>
      <w:iCs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MegjegyzstrgyaChar">
    <w:name w:val="Megjegyzés tárgya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b/>
      <w:i w:val="0"/>
      <w:sz w:val="26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bCs w:val="0"/>
      <w:i w:val="0"/>
      <w:caps w:val="0"/>
      <w:smallCaps w:val="0"/>
      <w:dstrike/>
      <w:vanish w:val="0"/>
      <w:color w:val="000000"/>
      <w:spacing w:val="0"/>
      <w:kern w:val="1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Pr>
      <w:rFonts w:cs="font319"/>
    </w:rPr>
  </w:style>
  <w:style w:type="paragraph" w:customStyle="1" w:styleId="Titre">
    <w:name w:val="Titre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Lgende">
    <w:name w:val="Légende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NormlWeb1">
    <w:name w:val="Normál (Web)1"/>
    <w:basedOn w:val="Norml"/>
    <w:pPr>
      <w:spacing w:before="28" w:after="28"/>
    </w:p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E03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E03B2B"/>
    <w:rPr>
      <w:rFonts w:ascii="Tahoma" w:hAnsi="Tahoma" w:cs="Tahoma"/>
      <w:kern w:val="1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03698E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03698E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03698E"/>
    <w:rPr>
      <w:kern w:val="1"/>
      <w:lang w:eastAsia="ar-SA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03698E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03698E"/>
    <w:rPr>
      <w:b/>
      <w:bCs/>
      <w:kern w:val="1"/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300079"/>
    <w:rPr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rsid w:val="00300079"/>
    <w:rPr>
      <w:kern w:val="1"/>
      <w:lang w:eastAsia="ar-SA"/>
    </w:rPr>
  </w:style>
  <w:style w:type="character" w:styleId="Lbjegyzet-hivatkozs">
    <w:name w:val="footnote reference"/>
    <w:uiPriority w:val="99"/>
    <w:semiHidden/>
    <w:unhideWhenUsed/>
    <w:rsid w:val="0030007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05D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05DB4"/>
    <w:rPr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05D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05DB4"/>
    <w:rPr>
      <w:kern w:val="1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714276"/>
    <w:pPr>
      <w:suppressAutoHyphens w:val="0"/>
      <w:spacing w:before="100" w:beforeAutospacing="1" w:after="100" w:afterAutospacing="1" w:line="240" w:lineRule="auto"/>
    </w:pPr>
    <w:rPr>
      <w:kern w:val="0"/>
      <w:lang w:eastAsia="hu-HU"/>
    </w:rPr>
  </w:style>
  <w:style w:type="paragraph" w:styleId="Vltozat">
    <w:name w:val="Revision"/>
    <w:hidden/>
    <w:uiPriority w:val="99"/>
    <w:semiHidden/>
    <w:rsid w:val="00DB7FF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bala.vagi@dep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E9E2-238B-4883-8661-EC97BCCF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Szaniszló Nóra</dc:creator>
  <cp:lastModifiedBy>Vági Borbála</cp:lastModifiedBy>
  <cp:revision>14</cp:revision>
  <cp:lastPrinted>2019-02-22T12:46:00Z</cp:lastPrinted>
  <dcterms:created xsi:type="dcterms:W3CDTF">2018-03-07T15:54:00Z</dcterms:created>
  <dcterms:modified xsi:type="dcterms:W3CDTF">2020-01-29T14:22:00Z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