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A0" w:rsidRPr="006362D2" w:rsidRDefault="00885FA0" w:rsidP="00151138">
      <w:pPr>
        <w:pStyle w:val="Szvegtrzs"/>
      </w:pPr>
      <w:r w:rsidRPr="006362D2">
        <w:t xml:space="preserve">Emlékeztető </w:t>
      </w:r>
    </w:p>
    <w:p w:rsidR="00885FA0" w:rsidRPr="006362D2" w:rsidRDefault="00885FA0" w:rsidP="00151138">
      <w:pPr>
        <w:pStyle w:val="Szvegtrzs"/>
      </w:pPr>
      <w:r w:rsidRPr="006362D2">
        <w:t>Készült</w:t>
      </w:r>
    </w:p>
    <w:p w:rsidR="00885FA0" w:rsidRPr="006362D2" w:rsidRDefault="00885FA0" w:rsidP="00151138">
      <w:pPr>
        <w:pStyle w:val="Szvegtrzs"/>
      </w:pPr>
      <w:proofErr w:type="gramStart"/>
      <w:r w:rsidRPr="006362D2">
        <w:t>az</w:t>
      </w:r>
      <w:proofErr w:type="gramEnd"/>
      <w:r w:rsidRPr="006362D2">
        <w:t xml:space="preserve"> Eötvös Loránd Tudományegyetem </w:t>
      </w:r>
    </w:p>
    <w:p w:rsidR="00885FA0" w:rsidRPr="006362D2" w:rsidRDefault="00885FA0" w:rsidP="00151138">
      <w:pPr>
        <w:pStyle w:val="Szvegtrzs"/>
      </w:pPr>
      <w:r w:rsidRPr="006362D2">
        <w:t>Egyetemi Kreditátviteli Bizottságának</w:t>
      </w:r>
    </w:p>
    <w:p w:rsidR="00885FA0" w:rsidRPr="006362D2" w:rsidRDefault="00885FA0" w:rsidP="00151138">
      <w:pPr>
        <w:pStyle w:val="Szvegtrzs"/>
      </w:pPr>
      <w:r w:rsidRPr="006362D2">
        <w:t xml:space="preserve">2014. április 11-én, </w:t>
      </w:r>
      <w:r w:rsidRPr="006362D2">
        <w:t>9</w:t>
      </w:r>
      <w:r w:rsidRPr="006362D2">
        <w:t>.30 órai kezdettel tartott üléséről</w:t>
      </w:r>
    </w:p>
    <w:p w:rsidR="00885FA0" w:rsidRPr="006362D2" w:rsidRDefault="00885FA0" w:rsidP="00151138">
      <w:pPr>
        <w:pStyle w:val="Szvegtrzs"/>
      </w:pPr>
      <w:r w:rsidRPr="006362D2">
        <w:t>Helye: Tanári Klub (Budapest, Szerb u. 21-23.)</w:t>
      </w:r>
    </w:p>
    <w:p w:rsidR="00885FA0" w:rsidRPr="006362D2" w:rsidRDefault="00885FA0" w:rsidP="00151138">
      <w:pPr>
        <w:pStyle w:val="Szvegtrzs"/>
        <w:rPr>
          <w:b w:val="0"/>
        </w:rPr>
      </w:pPr>
    </w:p>
    <w:p w:rsidR="00885FA0" w:rsidRPr="006362D2" w:rsidRDefault="00885FA0" w:rsidP="00151138">
      <w:pPr>
        <w:pStyle w:val="Szvegtrzs"/>
        <w:jc w:val="both"/>
      </w:pPr>
    </w:p>
    <w:p w:rsidR="00885FA0" w:rsidRPr="006362D2" w:rsidRDefault="00885FA0" w:rsidP="00151138">
      <w:pPr>
        <w:pStyle w:val="Szvegtrzs"/>
        <w:jc w:val="both"/>
      </w:pPr>
      <w:r w:rsidRPr="006362D2">
        <w:t xml:space="preserve">Megjelentek </w:t>
      </w:r>
    </w:p>
    <w:p w:rsidR="00885FA0" w:rsidRPr="006362D2" w:rsidRDefault="00885FA0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2D2">
        <w:rPr>
          <w:rFonts w:ascii="Times New Roman" w:hAnsi="Times New Roman" w:cs="Times New Roman"/>
          <w:sz w:val="24"/>
          <w:szCs w:val="24"/>
        </w:rPr>
        <w:t xml:space="preserve">Borsodi Csaba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rektorhelyettes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, elnök; Nagy Marianna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dékánhelyettes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(ÁJK), </w:t>
      </w:r>
      <w:r w:rsidR="006362D2" w:rsidRPr="006362D2">
        <w:rPr>
          <w:rFonts w:ascii="Times New Roman" w:hAnsi="Times New Roman" w:cs="Times New Roman"/>
          <w:sz w:val="24"/>
          <w:szCs w:val="24"/>
        </w:rPr>
        <w:t xml:space="preserve">Kóczián Lilla hivatalvezető (ÁJK), </w:t>
      </w:r>
      <w:r w:rsidRPr="006362D2">
        <w:rPr>
          <w:rFonts w:ascii="Times New Roman" w:hAnsi="Times New Roman" w:cs="Times New Roman"/>
          <w:sz w:val="24"/>
          <w:szCs w:val="24"/>
        </w:rPr>
        <w:t xml:space="preserve">Horváth Krisztina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dékánhelyettes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(BTK), </w:t>
      </w:r>
      <w:r w:rsidR="006362D2" w:rsidRPr="006362D2">
        <w:rPr>
          <w:rFonts w:ascii="Times New Roman" w:hAnsi="Times New Roman" w:cs="Times New Roman"/>
          <w:sz w:val="24"/>
          <w:szCs w:val="24"/>
        </w:rPr>
        <w:t xml:space="preserve">Ferenczi Attila KKB elnök (BTK), </w:t>
      </w:r>
      <w:r w:rsidRPr="006362D2">
        <w:rPr>
          <w:rFonts w:ascii="Times New Roman" w:hAnsi="Times New Roman" w:cs="Times New Roman"/>
          <w:sz w:val="24"/>
          <w:szCs w:val="24"/>
        </w:rPr>
        <w:t xml:space="preserve">Márkus Eszter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dékánhelyettes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(BGGYK),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Gergó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Lajos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dékánhelyettes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(IK),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Szivák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Judit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dékánhelyettes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(PPK), Juhász Gábor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dékánhelyettes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(TÁTK), Demeter Katalin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dékánhelyettes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(TÓK), Horváth Erzsébet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dékánhelyettes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(TTK), Borbély Krisztián (EHÖK)</w:t>
      </w:r>
      <w:r w:rsidR="006362D2" w:rsidRPr="00636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Cseszregi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Tamás (oktatási igazgató)</w:t>
      </w:r>
      <w:proofErr w:type="gramEnd"/>
    </w:p>
    <w:p w:rsidR="00885FA0" w:rsidRPr="006362D2" w:rsidRDefault="00885FA0" w:rsidP="0015113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FA0" w:rsidRDefault="00885FA0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D2">
        <w:rPr>
          <w:rFonts w:ascii="Times New Roman" w:hAnsi="Times New Roman" w:cs="Times New Roman"/>
          <w:sz w:val="24"/>
          <w:szCs w:val="24"/>
        </w:rPr>
        <w:t xml:space="preserve">Borsodi Csaba ismertette a </w:t>
      </w:r>
      <w:r w:rsidRPr="006362D2">
        <w:rPr>
          <w:rFonts w:ascii="Times New Roman" w:hAnsi="Times New Roman" w:cs="Times New Roman"/>
          <w:b/>
          <w:sz w:val="24"/>
          <w:szCs w:val="24"/>
        </w:rPr>
        <w:t>napirendi pontok</w:t>
      </w:r>
      <w:r w:rsidRPr="006362D2">
        <w:rPr>
          <w:rFonts w:ascii="Times New Roman" w:hAnsi="Times New Roman" w:cs="Times New Roman"/>
          <w:sz w:val="24"/>
          <w:szCs w:val="24"/>
        </w:rPr>
        <w:t>at.</w:t>
      </w:r>
    </w:p>
    <w:p w:rsidR="00151138" w:rsidRDefault="00151138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2D2" w:rsidRPr="006362D2" w:rsidRDefault="006362D2" w:rsidP="0015113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D2">
        <w:rPr>
          <w:rFonts w:ascii="Times New Roman" w:hAnsi="Times New Roman" w:cs="Times New Roman"/>
          <w:sz w:val="24"/>
          <w:szCs w:val="24"/>
        </w:rPr>
        <w:t xml:space="preserve">Kreditátvitellel kapcsolatos aktuális kérdések </w:t>
      </w:r>
    </w:p>
    <w:p w:rsidR="006362D2" w:rsidRDefault="006362D2" w:rsidP="0015113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D2">
        <w:rPr>
          <w:rFonts w:ascii="Times New Roman" w:hAnsi="Times New Roman" w:cs="Times New Roman"/>
          <w:sz w:val="24"/>
          <w:szCs w:val="24"/>
        </w:rPr>
        <w:t>Egyebek</w:t>
      </w:r>
    </w:p>
    <w:p w:rsidR="00151138" w:rsidRPr="00151138" w:rsidRDefault="00151138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33E" w:rsidRDefault="006362D2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6362D2">
        <w:rPr>
          <w:rFonts w:ascii="Times New Roman" w:hAnsi="Times New Roman" w:cs="Times New Roman"/>
          <w:b/>
          <w:sz w:val="24"/>
          <w:szCs w:val="24"/>
        </w:rPr>
        <w:t>1. napirendi pont</w:t>
      </w:r>
      <w:r>
        <w:rPr>
          <w:rFonts w:ascii="Times New Roman" w:hAnsi="Times New Roman" w:cs="Times New Roman"/>
          <w:sz w:val="24"/>
          <w:szCs w:val="24"/>
        </w:rPr>
        <w:t xml:space="preserve"> keretében </w:t>
      </w:r>
      <w:proofErr w:type="spellStart"/>
      <w:r>
        <w:rPr>
          <w:rFonts w:ascii="Times New Roman" w:hAnsi="Times New Roman" w:cs="Times New Roman"/>
          <w:sz w:val="24"/>
          <w:szCs w:val="24"/>
        </w:rPr>
        <w:t>Cseszregi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 ismertette a kari tanulmányi hivatalvezető</w:t>
      </w:r>
      <w:r w:rsidR="001511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a kari nemzetközi hallgatói mobilitással foglalkozó adminisztrátorok, a Nemzetközi Képzési és Mobilitási </w:t>
      </w:r>
      <w:r w:rsidR="0015113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sztály, valamint az Oktatási Igazgatóság illetékes kollégái részvételével megtartott értekezleteken megtárgyalt és</w:t>
      </w:r>
      <w:r w:rsidR="00151138">
        <w:rPr>
          <w:rFonts w:ascii="Times New Roman" w:hAnsi="Times New Roman" w:cs="Times New Roman"/>
          <w:sz w:val="24"/>
          <w:szCs w:val="24"/>
        </w:rPr>
        <w:t xml:space="preserve"> az EKB számára</w:t>
      </w:r>
      <w:r>
        <w:rPr>
          <w:rFonts w:ascii="Times New Roman" w:hAnsi="Times New Roman" w:cs="Times New Roman"/>
          <w:sz w:val="24"/>
          <w:szCs w:val="24"/>
        </w:rPr>
        <w:t xml:space="preserve"> elfogadásra javasolt, a</w:t>
      </w:r>
      <w:r w:rsidR="00CC233E" w:rsidRPr="006362D2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CC233E" w:rsidRPr="006362D2">
        <w:rPr>
          <w:rFonts w:ascii="Times New Roman" w:hAnsi="Times New Roman" w:cs="Times New Roman"/>
          <w:sz w:val="24"/>
          <w:szCs w:val="24"/>
        </w:rPr>
        <w:t>Erasmussal</w:t>
      </w:r>
      <w:proofErr w:type="spellEnd"/>
      <w:r w:rsidR="00CC233E" w:rsidRPr="006362D2">
        <w:rPr>
          <w:rFonts w:ascii="Times New Roman" w:hAnsi="Times New Roman" w:cs="Times New Roman"/>
          <w:sz w:val="24"/>
          <w:szCs w:val="24"/>
        </w:rPr>
        <w:t>, vagy más, három hónapig vagy azt meghaladó időtartamban ösztöndíj keretében külföldi felsőoktatási intézményben folytatott résztanulmán</w:t>
      </w:r>
      <w:r w:rsidR="00151138">
        <w:rPr>
          <w:rFonts w:ascii="Times New Roman" w:hAnsi="Times New Roman" w:cs="Times New Roman"/>
          <w:sz w:val="24"/>
          <w:szCs w:val="24"/>
        </w:rPr>
        <w:t>yok beszámításával ka</w:t>
      </w:r>
      <w:r>
        <w:rPr>
          <w:rFonts w:ascii="Times New Roman" w:hAnsi="Times New Roman" w:cs="Times New Roman"/>
          <w:sz w:val="24"/>
          <w:szCs w:val="24"/>
        </w:rPr>
        <w:t xml:space="preserve">pcsolatos </w:t>
      </w:r>
      <w:r w:rsidR="00151138">
        <w:rPr>
          <w:rFonts w:ascii="Times New Roman" w:hAnsi="Times New Roman" w:cs="Times New Roman"/>
          <w:sz w:val="24"/>
          <w:szCs w:val="24"/>
        </w:rPr>
        <w:t>eljárásrendet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62D2" w:rsidRPr="006362D2" w:rsidRDefault="006362D2" w:rsidP="001511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33E" w:rsidRPr="006362D2" w:rsidRDefault="00CC233E" w:rsidP="00151138">
      <w:pPr>
        <w:pStyle w:val="Listaszerbekezds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362D2">
        <w:rPr>
          <w:rFonts w:ascii="Times New Roman" w:hAnsi="Times New Roman" w:cs="Times New Roman"/>
          <w:sz w:val="24"/>
          <w:szCs w:val="24"/>
        </w:rPr>
        <w:t xml:space="preserve">A hallgató által a külföldi felsőoktatási intézményben végzett </w:t>
      </w:r>
      <w:r w:rsidRPr="006362D2">
        <w:rPr>
          <w:rFonts w:ascii="Times New Roman" w:hAnsi="Times New Roman" w:cs="Times New Roman"/>
          <w:b/>
          <w:sz w:val="24"/>
          <w:szCs w:val="24"/>
        </w:rPr>
        <w:t>tanegységek mindegyike beszámításra kerül</w:t>
      </w:r>
      <w:r w:rsidRPr="006362D2">
        <w:rPr>
          <w:rFonts w:ascii="Times New Roman" w:hAnsi="Times New Roman" w:cs="Times New Roman"/>
          <w:sz w:val="24"/>
          <w:szCs w:val="24"/>
        </w:rPr>
        <w:t>, az alábbiak szerint:</w:t>
      </w:r>
    </w:p>
    <w:p w:rsidR="00CC233E" w:rsidRPr="006362D2" w:rsidRDefault="00CC233E" w:rsidP="00151138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C233E" w:rsidRPr="006362D2" w:rsidRDefault="00CC233E" w:rsidP="00151138">
      <w:pPr>
        <w:pStyle w:val="Listaszerbekezds"/>
        <w:numPr>
          <w:ilvl w:val="0"/>
          <w:numId w:val="1"/>
        </w:num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6362D2">
        <w:rPr>
          <w:rFonts w:ascii="Times New Roman" w:hAnsi="Times New Roman" w:cs="Times New Roman"/>
          <w:sz w:val="24"/>
          <w:szCs w:val="24"/>
        </w:rPr>
        <w:t xml:space="preserve">amennyiben a külföldi intézményben teljesített tanegység </w:t>
      </w:r>
      <w:r w:rsidRPr="006362D2">
        <w:rPr>
          <w:rFonts w:ascii="Times New Roman" w:hAnsi="Times New Roman" w:cs="Times New Roman"/>
          <w:b/>
          <w:sz w:val="24"/>
          <w:szCs w:val="24"/>
        </w:rPr>
        <w:t>elismerhető</w:t>
      </w:r>
      <w:r w:rsidRPr="006362D2">
        <w:rPr>
          <w:rFonts w:ascii="Times New Roman" w:hAnsi="Times New Roman" w:cs="Times New Roman"/>
          <w:sz w:val="24"/>
          <w:szCs w:val="24"/>
        </w:rPr>
        <w:t xml:space="preserve"> a hallgató szakjának </w:t>
      </w:r>
      <w:r w:rsidRPr="006362D2">
        <w:rPr>
          <w:rFonts w:ascii="Times New Roman" w:hAnsi="Times New Roman" w:cs="Times New Roman"/>
          <w:b/>
          <w:sz w:val="24"/>
          <w:szCs w:val="24"/>
        </w:rPr>
        <w:t>mintatantervében lévő tanegységnek</w:t>
      </w:r>
      <w:r w:rsidRPr="006362D2">
        <w:rPr>
          <w:rFonts w:ascii="Times New Roman" w:hAnsi="Times New Roman" w:cs="Times New Roman"/>
          <w:sz w:val="24"/>
          <w:szCs w:val="24"/>
        </w:rPr>
        <w:t>, akkor az elismerésre a mintatanterv szerinti tanegység kreditértékével és külföldön szerzett érdemjeggyel vagy annak konvertálásával kerül sor</w:t>
      </w:r>
      <w:r w:rsidRPr="006362D2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6362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233E" w:rsidRPr="006362D2" w:rsidRDefault="00CC233E" w:rsidP="00151138">
      <w:pPr>
        <w:pStyle w:val="Listaszerbekezds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CC233E" w:rsidRPr="006362D2" w:rsidRDefault="00CC233E" w:rsidP="00151138">
      <w:pPr>
        <w:pStyle w:val="Listaszerbekezds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6362D2">
        <w:rPr>
          <w:rFonts w:ascii="Times New Roman" w:hAnsi="Times New Roman" w:cs="Times New Roman"/>
          <w:sz w:val="24"/>
          <w:szCs w:val="24"/>
        </w:rPr>
        <w:t xml:space="preserve">Az </w:t>
      </w:r>
      <w:r w:rsidRPr="006362D2">
        <w:rPr>
          <w:rFonts w:ascii="Times New Roman" w:hAnsi="Times New Roman" w:cs="Times New Roman"/>
          <w:b/>
          <w:sz w:val="24"/>
          <w:szCs w:val="24"/>
        </w:rPr>
        <w:t>érdemjegy-konverzió</w:t>
      </w:r>
      <w:r w:rsidRPr="006362D2">
        <w:rPr>
          <w:rFonts w:ascii="Times New Roman" w:hAnsi="Times New Roman" w:cs="Times New Roman"/>
          <w:sz w:val="24"/>
          <w:szCs w:val="24"/>
        </w:rPr>
        <w:t xml:space="preserve"> az ECTS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, ennek hiányában a külföldi felsőoktatási intézmény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ELTE-vel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kötött szerződésében foglaltak, ezek hiányában pedig a kari kreditátviteli bizottság egyedi mérlegelése alapján kerül sor.</w:t>
      </w:r>
    </w:p>
    <w:p w:rsidR="00CC233E" w:rsidRPr="006362D2" w:rsidRDefault="00CC233E" w:rsidP="00151138">
      <w:pPr>
        <w:pStyle w:val="Listaszerbekezds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CC233E" w:rsidRPr="006362D2" w:rsidRDefault="00CC233E" w:rsidP="00151138">
      <w:pPr>
        <w:pStyle w:val="Listaszerbekezds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6362D2">
        <w:rPr>
          <w:rFonts w:ascii="Times New Roman" w:hAnsi="Times New Roman" w:cs="Times New Roman"/>
          <w:sz w:val="24"/>
          <w:szCs w:val="24"/>
        </w:rPr>
        <w:t xml:space="preserve">Az ECTS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alapú konverzió az alábbiak szerint zajlik:</w:t>
      </w:r>
    </w:p>
    <w:p w:rsidR="00CC233E" w:rsidRPr="006362D2" w:rsidRDefault="00CC233E" w:rsidP="0015113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6362D2">
        <w:rPr>
          <w:rFonts w:ascii="Times New Roman" w:hAnsi="Times New Roman" w:cs="Times New Roman"/>
          <w:sz w:val="24"/>
          <w:szCs w:val="24"/>
          <w:u w:val="single"/>
        </w:rPr>
        <w:t>ELTE érdemjegy</w:t>
      </w:r>
      <w:r w:rsidRPr="006362D2">
        <w:rPr>
          <w:rFonts w:ascii="Times New Roman" w:hAnsi="Times New Roman" w:cs="Times New Roman"/>
          <w:sz w:val="24"/>
          <w:szCs w:val="24"/>
        </w:rPr>
        <w:t xml:space="preserve"> </w:t>
      </w:r>
      <w:r w:rsidRPr="006362D2">
        <w:rPr>
          <w:rFonts w:ascii="Times New Roman" w:hAnsi="Times New Roman" w:cs="Times New Roman"/>
          <w:sz w:val="24"/>
          <w:szCs w:val="24"/>
        </w:rPr>
        <w:tab/>
      </w:r>
      <w:r w:rsidRPr="006362D2">
        <w:rPr>
          <w:rFonts w:ascii="Times New Roman" w:hAnsi="Times New Roman" w:cs="Times New Roman"/>
          <w:sz w:val="24"/>
          <w:szCs w:val="24"/>
        </w:rPr>
        <w:tab/>
      </w:r>
      <w:r w:rsidRPr="006362D2">
        <w:rPr>
          <w:rFonts w:ascii="Times New Roman" w:hAnsi="Times New Roman" w:cs="Times New Roman"/>
          <w:sz w:val="24"/>
          <w:szCs w:val="24"/>
          <w:u w:val="single"/>
        </w:rPr>
        <w:t xml:space="preserve">ECTS </w:t>
      </w:r>
      <w:proofErr w:type="spellStart"/>
      <w:r w:rsidRPr="006362D2">
        <w:rPr>
          <w:rFonts w:ascii="Times New Roman" w:hAnsi="Times New Roman" w:cs="Times New Roman"/>
          <w:sz w:val="24"/>
          <w:szCs w:val="24"/>
          <w:u w:val="single"/>
        </w:rPr>
        <w:t>grade</w:t>
      </w:r>
      <w:proofErr w:type="spellEnd"/>
      <w:r w:rsidRPr="006362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362D2">
        <w:rPr>
          <w:rFonts w:ascii="Times New Roman" w:hAnsi="Times New Roman" w:cs="Times New Roman"/>
          <w:sz w:val="24"/>
          <w:szCs w:val="24"/>
          <w:u w:val="single"/>
        </w:rPr>
        <w:t>definition</w:t>
      </w:r>
      <w:proofErr w:type="spellEnd"/>
    </w:p>
    <w:p w:rsidR="00CC233E" w:rsidRPr="006362D2" w:rsidRDefault="00CC233E" w:rsidP="0015113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6362D2">
        <w:rPr>
          <w:rFonts w:ascii="Times New Roman" w:hAnsi="Times New Roman" w:cs="Times New Roman"/>
          <w:sz w:val="24"/>
          <w:szCs w:val="24"/>
        </w:rPr>
        <w:t>5 (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excellent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) </w:t>
      </w:r>
      <w:r w:rsidRPr="006362D2">
        <w:rPr>
          <w:rFonts w:ascii="Times New Roman" w:hAnsi="Times New Roman" w:cs="Times New Roman"/>
          <w:sz w:val="24"/>
          <w:szCs w:val="24"/>
        </w:rPr>
        <w:tab/>
      </w:r>
      <w:r w:rsidRPr="006362D2">
        <w:rPr>
          <w:rFonts w:ascii="Times New Roman" w:hAnsi="Times New Roman" w:cs="Times New Roman"/>
          <w:sz w:val="24"/>
          <w:szCs w:val="24"/>
        </w:rPr>
        <w:tab/>
      </w:r>
      <w:r w:rsidRPr="006362D2">
        <w:rPr>
          <w:rFonts w:ascii="Times New Roman" w:hAnsi="Times New Roman" w:cs="Times New Roman"/>
          <w:sz w:val="24"/>
          <w:szCs w:val="24"/>
        </w:rPr>
        <w:tab/>
        <w:t xml:space="preserve">A, B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excellent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good</w:t>
      </w:r>
      <w:proofErr w:type="spellEnd"/>
    </w:p>
    <w:p w:rsidR="00CC233E" w:rsidRPr="006362D2" w:rsidRDefault="00CC233E" w:rsidP="0015113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6362D2">
        <w:rPr>
          <w:rFonts w:ascii="Times New Roman" w:hAnsi="Times New Roman" w:cs="Times New Roman"/>
          <w:sz w:val="24"/>
          <w:szCs w:val="24"/>
        </w:rPr>
        <w:t>4 (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>)</w:t>
      </w:r>
      <w:r w:rsidRPr="006362D2">
        <w:rPr>
          <w:rFonts w:ascii="Times New Roman" w:hAnsi="Times New Roman" w:cs="Times New Roman"/>
          <w:sz w:val="24"/>
          <w:szCs w:val="24"/>
        </w:rPr>
        <w:tab/>
      </w:r>
      <w:r w:rsidRPr="006362D2">
        <w:rPr>
          <w:rFonts w:ascii="Times New Roman" w:hAnsi="Times New Roman" w:cs="Times New Roman"/>
          <w:sz w:val="24"/>
          <w:szCs w:val="24"/>
        </w:rPr>
        <w:tab/>
      </w:r>
      <w:r w:rsidRPr="006362D2">
        <w:rPr>
          <w:rFonts w:ascii="Times New Roman" w:hAnsi="Times New Roman" w:cs="Times New Roman"/>
          <w:sz w:val="24"/>
          <w:szCs w:val="24"/>
        </w:rPr>
        <w:tab/>
      </w:r>
      <w:r w:rsidR="001574D2">
        <w:rPr>
          <w:rFonts w:ascii="Times New Roman" w:hAnsi="Times New Roman" w:cs="Times New Roman"/>
          <w:sz w:val="24"/>
          <w:szCs w:val="24"/>
        </w:rPr>
        <w:tab/>
      </w:r>
      <w:r w:rsidRPr="006362D2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good</w:t>
      </w:r>
      <w:proofErr w:type="spellEnd"/>
    </w:p>
    <w:p w:rsidR="00CC233E" w:rsidRPr="006362D2" w:rsidRDefault="00CC233E" w:rsidP="0015113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6362D2">
        <w:rPr>
          <w:rFonts w:ascii="Times New Roman" w:hAnsi="Times New Roman" w:cs="Times New Roman"/>
          <w:sz w:val="24"/>
          <w:szCs w:val="24"/>
        </w:rPr>
        <w:t>3 (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satisfactory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) </w:t>
      </w:r>
      <w:r w:rsidRPr="006362D2">
        <w:rPr>
          <w:rFonts w:ascii="Times New Roman" w:hAnsi="Times New Roman" w:cs="Times New Roman"/>
          <w:sz w:val="24"/>
          <w:szCs w:val="24"/>
        </w:rPr>
        <w:tab/>
      </w:r>
      <w:r w:rsidRPr="006362D2">
        <w:rPr>
          <w:rFonts w:ascii="Times New Roman" w:hAnsi="Times New Roman" w:cs="Times New Roman"/>
          <w:sz w:val="24"/>
          <w:szCs w:val="24"/>
        </w:rPr>
        <w:tab/>
      </w:r>
      <w:r w:rsidR="001574D2">
        <w:rPr>
          <w:rFonts w:ascii="Times New Roman" w:hAnsi="Times New Roman" w:cs="Times New Roman"/>
          <w:sz w:val="24"/>
          <w:szCs w:val="24"/>
        </w:rPr>
        <w:tab/>
      </w:r>
      <w:r w:rsidRPr="006362D2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satisfactory</w:t>
      </w:r>
      <w:proofErr w:type="spellEnd"/>
    </w:p>
    <w:p w:rsidR="00CC233E" w:rsidRPr="006362D2" w:rsidRDefault="00CC233E" w:rsidP="0015113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6362D2">
        <w:rPr>
          <w:rFonts w:ascii="Times New Roman" w:hAnsi="Times New Roman" w:cs="Times New Roman"/>
          <w:sz w:val="24"/>
          <w:szCs w:val="24"/>
        </w:rPr>
        <w:t>2 (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) </w:t>
      </w:r>
      <w:r w:rsidRPr="006362D2">
        <w:rPr>
          <w:rFonts w:ascii="Times New Roman" w:hAnsi="Times New Roman" w:cs="Times New Roman"/>
          <w:sz w:val="24"/>
          <w:szCs w:val="24"/>
        </w:rPr>
        <w:tab/>
      </w:r>
      <w:r w:rsidRPr="006362D2">
        <w:rPr>
          <w:rFonts w:ascii="Times New Roman" w:hAnsi="Times New Roman" w:cs="Times New Roman"/>
          <w:sz w:val="24"/>
          <w:szCs w:val="24"/>
        </w:rPr>
        <w:tab/>
      </w:r>
      <w:r w:rsidRPr="006362D2">
        <w:rPr>
          <w:rFonts w:ascii="Times New Roman" w:hAnsi="Times New Roman" w:cs="Times New Roman"/>
          <w:sz w:val="24"/>
          <w:szCs w:val="24"/>
        </w:rPr>
        <w:tab/>
      </w:r>
      <w:r w:rsidR="001574D2">
        <w:rPr>
          <w:rFonts w:ascii="Times New Roman" w:hAnsi="Times New Roman" w:cs="Times New Roman"/>
          <w:sz w:val="24"/>
          <w:szCs w:val="24"/>
        </w:rPr>
        <w:tab/>
      </w:r>
      <w:r w:rsidRPr="006362D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sufficient</w:t>
      </w:r>
      <w:proofErr w:type="spellEnd"/>
    </w:p>
    <w:p w:rsidR="00CC233E" w:rsidRPr="006362D2" w:rsidRDefault="00CC233E" w:rsidP="0015113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6362D2">
        <w:rPr>
          <w:rFonts w:ascii="Times New Roman" w:hAnsi="Times New Roman" w:cs="Times New Roman"/>
          <w:sz w:val="24"/>
          <w:szCs w:val="24"/>
        </w:rPr>
        <w:t>1 (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fail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) </w:t>
      </w:r>
      <w:r w:rsidRPr="006362D2">
        <w:rPr>
          <w:rFonts w:ascii="Times New Roman" w:hAnsi="Times New Roman" w:cs="Times New Roman"/>
          <w:sz w:val="24"/>
          <w:szCs w:val="24"/>
        </w:rPr>
        <w:tab/>
      </w:r>
      <w:r w:rsidRPr="006362D2">
        <w:rPr>
          <w:rFonts w:ascii="Times New Roman" w:hAnsi="Times New Roman" w:cs="Times New Roman"/>
          <w:sz w:val="24"/>
          <w:szCs w:val="24"/>
        </w:rPr>
        <w:tab/>
      </w:r>
      <w:r w:rsidRPr="006362D2">
        <w:rPr>
          <w:rFonts w:ascii="Times New Roman" w:hAnsi="Times New Roman" w:cs="Times New Roman"/>
          <w:sz w:val="24"/>
          <w:szCs w:val="24"/>
        </w:rPr>
        <w:tab/>
      </w:r>
      <w:r w:rsidR="001574D2">
        <w:rPr>
          <w:rFonts w:ascii="Times New Roman" w:hAnsi="Times New Roman" w:cs="Times New Roman"/>
          <w:sz w:val="24"/>
          <w:szCs w:val="24"/>
        </w:rPr>
        <w:tab/>
      </w:r>
      <w:r w:rsidRPr="006362D2">
        <w:rPr>
          <w:rFonts w:ascii="Times New Roman" w:hAnsi="Times New Roman" w:cs="Times New Roman"/>
          <w:sz w:val="24"/>
          <w:szCs w:val="24"/>
        </w:rPr>
        <w:t xml:space="preserve">FX, F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fail</w:t>
      </w:r>
      <w:proofErr w:type="spellEnd"/>
    </w:p>
    <w:p w:rsidR="00CC233E" w:rsidRPr="006362D2" w:rsidRDefault="00CC233E" w:rsidP="00151138">
      <w:pPr>
        <w:pStyle w:val="Listaszerbekezds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CC233E" w:rsidRPr="006362D2" w:rsidRDefault="00CC233E" w:rsidP="00151138">
      <w:pPr>
        <w:pStyle w:val="Listaszerbekezds"/>
        <w:numPr>
          <w:ilvl w:val="0"/>
          <w:numId w:val="1"/>
        </w:num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6362D2">
        <w:rPr>
          <w:rFonts w:ascii="Times New Roman" w:hAnsi="Times New Roman" w:cs="Times New Roman"/>
          <w:sz w:val="24"/>
          <w:szCs w:val="24"/>
        </w:rPr>
        <w:t xml:space="preserve">amennyiben a külföldi felsőoktatási intézményben teljesített tanegység </w:t>
      </w:r>
      <w:r w:rsidRPr="006362D2">
        <w:rPr>
          <w:rFonts w:ascii="Times New Roman" w:hAnsi="Times New Roman" w:cs="Times New Roman"/>
          <w:b/>
          <w:sz w:val="24"/>
          <w:szCs w:val="24"/>
        </w:rPr>
        <w:t>nem ismerhető el</w:t>
      </w:r>
      <w:r w:rsidRPr="006362D2">
        <w:rPr>
          <w:rFonts w:ascii="Times New Roman" w:hAnsi="Times New Roman" w:cs="Times New Roman"/>
          <w:sz w:val="24"/>
          <w:szCs w:val="24"/>
        </w:rPr>
        <w:t xml:space="preserve"> a hallgató szakja </w:t>
      </w:r>
      <w:r w:rsidRPr="006362D2">
        <w:rPr>
          <w:rFonts w:ascii="Times New Roman" w:hAnsi="Times New Roman" w:cs="Times New Roman"/>
          <w:b/>
          <w:sz w:val="24"/>
          <w:szCs w:val="24"/>
        </w:rPr>
        <w:t>mintatantervében lévő tanegységnek</w:t>
      </w:r>
      <w:r w:rsidRPr="006362D2">
        <w:rPr>
          <w:rFonts w:ascii="Times New Roman" w:hAnsi="Times New Roman" w:cs="Times New Roman"/>
          <w:sz w:val="24"/>
          <w:szCs w:val="24"/>
        </w:rPr>
        <w:t xml:space="preserve">, akkor az elismerésre a külföldi intézményben elvégzett tanegység nevével, az a) pontban vázolt érdemjegy-konverzióval, valamint a kari kreditátviteli bizottság egyedi mérlegelése alapján megállapított, de </w:t>
      </w:r>
      <w:r w:rsidRPr="006362D2">
        <w:rPr>
          <w:rFonts w:ascii="Times New Roman" w:hAnsi="Times New Roman" w:cs="Times New Roman"/>
          <w:b/>
          <w:sz w:val="24"/>
          <w:szCs w:val="24"/>
        </w:rPr>
        <w:t>legalább két kredit értékkel</w:t>
      </w:r>
      <w:r w:rsidRPr="006362D2">
        <w:rPr>
          <w:rFonts w:ascii="Times New Roman" w:hAnsi="Times New Roman" w:cs="Times New Roman"/>
          <w:sz w:val="24"/>
          <w:szCs w:val="24"/>
        </w:rPr>
        <w:t xml:space="preserve"> kerül sor. Az ily módon beszámított tanegység szabadon választható tanegységnek minősül.</w:t>
      </w:r>
    </w:p>
    <w:p w:rsidR="00CC233E" w:rsidRPr="006362D2" w:rsidRDefault="00CC233E" w:rsidP="00151138">
      <w:pPr>
        <w:pStyle w:val="Listaszerbekezds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C233E" w:rsidRPr="006362D2" w:rsidRDefault="00CC233E" w:rsidP="00151138">
      <w:pPr>
        <w:pStyle w:val="Listaszerbekezds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362D2">
        <w:rPr>
          <w:rFonts w:ascii="Times New Roman" w:hAnsi="Times New Roman" w:cs="Times New Roman"/>
          <w:sz w:val="24"/>
          <w:szCs w:val="24"/>
        </w:rPr>
        <w:t xml:space="preserve">A hallgatónak </w:t>
      </w:r>
      <w:r w:rsidRPr="006362D2">
        <w:rPr>
          <w:rFonts w:ascii="Times New Roman" w:hAnsi="Times New Roman" w:cs="Times New Roman"/>
          <w:b/>
          <w:sz w:val="24"/>
          <w:szCs w:val="24"/>
        </w:rPr>
        <w:t>nem kell felvennie</w:t>
      </w:r>
      <w:r w:rsidRPr="006362D2">
        <w:rPr>
          <w:rFonts w:ascii="Times New Roman" w:hAnsi="Times New Roman" w:cs="Times New Roman"/>
          <w:sz w:val="24"/>
          <w:szCs w:val="24"/>
        </w:rPr>
        <w:t xml:space="preserve"> azt a tanegységet, ami kiutazása előtt megkötött tanulmányi szerződésében (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; LA) szerepel. </w:t>
      </w:r>
      <w:r w:rsidRPr="006362D2">
        <w:rPr>
          <w:rFonts w:ascii="Times New Roman" w:hAnsi="Times New Roman" w:cs="Times New Roman"/>
          <w:b/>
          <w:sz w:val="24"/>
          <w:szCs w:val="24"/>
        </w:rPr>
        <w:t>Amennyiben</w:t>
      </w:r>
      <w:r w:rsidRPr="006362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LA-ben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megjelölt tanegység elismertetésére a hallgató </w:t>
      </w:r>
      <w:r w:rsidRPr="006362D2">
        <w:rPr>
          <w:rFonts w:ascii="Times New Roman" w:hAnsi="Times New Roman" w:cs="Times New Roman"/>
          <w:b/>
          <w:sz w:val="24"/>
          <w:szCs w:val="24"/>
        </w:rPr>
        <w:t>hibáján kívül nem kerül sor</w:t>
      </w:r>
      <w:r w:rsidRPr="006362D2">
        <w:rPr>
          <w:rFonts w:ascii="Times New Roman" w:hAnsi="Times New Roman" w:cs="Times New Roman"/>
          <w:sz w:val="24"/>
          <w:szCs w:val="24"/>
        </w:rPr>
        <w:t xml:space="preserve"> (pl. mert a külföldi felsőoktatási intézmény a kurzust nem indította el, </w:t>
      </w:r>
      <w:proofErr w:type="gramStart"/>
      <w:r w:rsidRPr="006362D2">
        <w:rPr>
          <w:rFonts w:ascii="Times New Roman" w:hAnsi="Times New Roman" w:cs="Times New Roman"/>
          <w:sz w:val="24"/>
          <w:szCs w:val="24"/>
        </w:rPr>
        <w:t>vagy</w:t>
      </w:r>
      <w:proofErr w:type="gramEnd"/>
      <w:r w:rsidRPr="006362D2">
        <w:rPr>
          <w:rFonts w:ascii="Times New Roman" w:hAnsi="Times New Roman" w:cs="Times New Roman"/>
          <w:sz w:val="24"/>
          <w:szCs w:val="24"/>
        </w:rPr>
        <w:t xml:space="preserve"> mert a kreditátviteli bizottság a kreditet a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LA-ben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foglaltak ellenére nem ismeri el), a hallgató számára – kérésére – a tanulmányi hivatal/osztály utólag felveszi a kurzust, és lehetőséget kell biztosítani az érdemjegy megszerzésére. Ez alól – jellegükre tekintettel – csak a labor- és terepgyakorlatok képeznek kivételt.</w:t>
      </w:r>
    </w:p>
    <w:p w:rsidR="00CC233E" w:rsidRPr="006362D2" w:rsidRDefault="00CC233E" w:rsidP="00151138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C233E" w:rsidRPr="006362D2" w:rsidRDefault="00CC233E" w:rsidP="00151138">
      <w:pPr>
        <w:pStyle w:val="Listaszerbekezds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362D2">
        <w:rPr>
          <w:rFonts w:ascii="Times New Roman" w:hAnsi="Times New Roman" w:cs="Times New Roman"/>
          <w:b/>
          <w:sz w:val="24"/>
          <w:szCs w:val="24"/>
        </w:rPr>
        <w:t>Amennyiben</w:t>
      </w:r>
      <w:r w:rsidRPr="006362D2">
        <w:rPr>
          <w:rFonts w:ascii="Times New Roman" w:hAnsi="Times New Roman" w:cs="Times New Roman"/>
          <w:sz w:val="24"/>
          <w:szCs w:val="24"/>
        </w:rPr>
        <w:t xml:space="preserve"> a hallgató </w:t>
      </w:r>
      <w:r w:rsidRPr="006362D2">
        <w:rPr>
          <w:rFonts w:ascii="Times New Roman" w:hAnsi="Times New Roman" w:cs="Times New Roman"/>
          <w:b/>
          <w:sz w:val="24"/>
          <w:szCs w:val="24"/>
        </w:rPr>
        <w:t>felvette azt a tanegységet, amely elismerésre kerül,</w:t>
      </w:r>
      <w:r w:rsidRPr="006362D2">
        <w:rPr>
          <w:rFonts w:ascii="Times New Roman" w:hAnsi="Times New Roman" w:cs="Times New Roman"/>
          <w:sz w:val="24"/>
          <w:szCs w:val="24"/>
        </w:rPr>
        <w:t xml:space="preserve"> a tanulmányi hivatal/osztály a kreditelismerés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Neptun-ban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történő rögzítése során törli azt. Ennek oka elsődlegesen a kreditelismerés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Neptun-ban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való rögzítésének helyes eljárása, ugyanakkor ennek alapján lesz lehetőség arra is, hogy a külföldi felsőoktatási intézményben végzett tanulmányok </w:t>
      </w:r>
      <w:r w:rsidRPr="006362D2">
        <w:rPr>
          <w:rFonts w:ascii="Times New Roman" w:hAnsi="Times New Roman" w:cs="Times New Roman"/>
          <w:b/>
          <w:sz w:val="24"/>
          <w:szCs w:val="24"/>
        </w:rPr>
        <w:t>ne számítsanak bele</w:t>
      </w:r>
      <w:r w:rsidRPr="006362D2">
        <w:rPr>
          <w:rFonts w:ascii="Times New Roman" w:hAnsi="Times New Roman" w:cs="Times New Roman"/>
          <w:sz w:val="24"/>
          <w:szCs w:val="24"/>
        </w:rPr>
        <w:t xml:space="preserve"> a HKR 58. § (4) bekezdésben</w:t>
      </w:r>
      <w:r w:rsidRPr="006362D2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6362D2">
        <w:rPr>
          <w:rFonts w:ascii="Times New Roman" w:hAnsi="Times New Roman" w:cs="Times New Roman"/>
          <w:sz w:val="24"/>
          <w:szCs w:val="24"/>
        </w:rPr>
        <w:t xml:space="preserve"> meghatározott keretbe.</w:t>
      </w:r>
    </w:p>
    <w:p w:rsidR="00CC233E" w:rsidRPr="006362D2" w:rsidRDefault="00CC233E" w:rsidP="00151138">
      <w:pPr>
        <w:pStyle w:val="Listaszerbekezds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C233E" w:rsidRPr="006362D2" w:rsidRDefault="00CC233E" w:rsidP="00151138">
      <w:pPr>
        <w:pStyle w:val="Listaszerbekezds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362D2">
        <w:rPr>
          <w:rFonts w:ascii="Times New Roman" w:hAnsi="Times New Roman" w:cs="Times New Roman"/>
          <w:sz w:val="24"/>
          <w:szCs w:val="24"/>
        </w:rPr>
        <w:t xml:space="preserve">A külföldi felsőoktatási intézményben végzett tanulmányok – arra tekintettel, hogy azok részképzés jellegűek, melynek során az ELTE-s félévnek aktívnak kell lennie – </w:t>
      </w:r>
      <w:r w:rsidRPr="006362D2">
        <w:rPr>
          <w:rFonts w:ascii="Times New Roman" w:hAnsi="Times New Roman" w:cs="Times New Roman"/>
          <w:b/>
          <w:sz w:val="24"/>
          <w:szCs w:val="24"/>
        </w:rPr>
        <w:t>beleszámítanak a korrigált kreditindexbe</w:t>
      </w:r>
      <w:r w:rsidRPr="006362D2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3"/>
      </w:r>
      <w:r w:rsidRPr="006362D2">
        <w:rPr>
          <w:rFonts w:ascii="Times New Roman" w:hAnsi="Times New Roman" w:cs="Times New Roman"/>
          <w:sz w:val="24"/>
          <w:szCs w:val="24"/>
        </w:rPr>
        <w:t xml:space="preserve">, és a hallgató </w:t>
      </w:r>
      <w:r w:rsidRPr="006362D2">
        <w:rPr>
          <w:rFonts w:ascii="Times New Roman" w:hAnsi="Times New Roman" w:cs="Times New Roman"/>
          <w:b/>
          <w:sz w:val="24"/>
          <w:szCs w:val="24"/>
        </w:rPr>
        <w:t>tanulmányi ösztöndíj</w:t>
      </w:r>
      <w:r w:rsidRPr="006362D2">
        <w:rPr>
          <w:rFonts w:ascii="Times New Roman" w:hAnsi="Times New Roman" w:cs="Times New Roman"/>
          <w:sz w:val="24"/>
          <w:szCs w:val="24"/>
        </w:rPr>
        <w:t>ának kiszámítása során is figyelembe kell vennie ezeket a teljesítéseket.</w:t>
      </w:r>
    </w:p>
    <w:p w:rsidR="00CC233E" w:rsidRPr="006362D2" w:rsidRDefault="00CC233E" w:rsidP="00151138">
      <w:pPr>
        <w:pStyle w:val="Listaszerbekezds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C233E" w:rsidRPr="006362D2" w:rsidRDefault="00CC233E" w:rsidP="00151138">
      <w:pPr>
        <w:pStyle w:val="Listaszerbekezds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362D2">
        <w:rPr>
          <w:rFonts w:ascii="Times New Roman" w:hAnsi="Times New Roman" w:cs="Times New Roman"/>
          <w:sz w:val="24"/>
          <w:szCs w:val="24"/>
        </w:rPr>
        <w:t xml:space="preserve">Az </w:t>
      </w:r>
      <w:r w:rsidRPr="006362D2">
        <w:rPr>
          <w:rFonts w:ascii="Times New Roman" w:hAnsi="Times New Roman" w:cs="Times New Roman"/>
          <w:b/>
          <w:sz w:val="24"/>
          <w:szCs w:val="24"/>
        </w:rPr>
        <w:t>átsorolás</w:t>
      </w:r>
      <w:r w:rsidRPr="006362D2">
        <w:rPr>
          <w:rFonts w:ascii="Times New Roman" w:hAnsi="Times New Roman" w:cs="Times New Roman"/>
          <w:sz w:val="24"/>
          <w:szCs w:val="24"/>
        </w:rPr>
        <w:t xml:space="preserve"> alól alanyi jogon mentesülnek az </w:t>
      </w:r>
      <w:proofErr w:type="spellStart"/>
      <w:r w:rsidRPr="006362D2">
        <w:rPr>
          <w:rFonts w:ascii="Times New Roman" w:hAnsi="Times New Roman" w:cs="Times New Roman"/>
          <w:sz w:val="24"/>
          <w:szCs w:val="24"/>
        </w:rPr>
        <w:t>erasmusos</w:t>
      </w:r>
      <w:proofErr w:type="spellEnd"/>
      <w:r w:rsidRPr="006362D2">
        <w:rPr>
          <w:rFonts w:ascii="Times New Roman" w:hAnsi="Times New Roman" w:cs="Times New Roman"/>
          <w:sz w:val="24"/>
          <w:szCs w:val="24"/>
        </w:rPr>
        <w:t xml:space="preserve"> hallgatók</w:t>
      </w:r>
      <w:r w:rsidRPr="006362D2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 w:rsidRPr="006362D2">
        <w:rPr>
          <w:rFonts w:ascii="Times New Roman" w:hAnsi="Times New Roman" w:cs="Times New Roman"/>
          <w:sz w:val="24"/>
          <w:szCs w:val="24"/>
        </w:rPr>
        <w:t>. A többi, három hónapig vagy azt meghaladói időtartamban ösztöndíj keretében külföldi felsőoktatási intézményben tanulmányokat folytató hallgató a HKR 132. § (8) bekezdése alapján egyedi kérelem alapján mentesülhet az átsorolás alól. (Ennek oka az, hogy az Egyetem nem vagy nem minden esetben értesül arról, hogy a hallgató ilyen tanulmányokat folytat, így a folyamat automatizálására nincsen lehetőség.)</w:t>
      </w:r>
    </w:p>
    <w:p w:rsidR="00151138" w:rsidRDefault="00151138" w:rsidP="00151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138" w:rsidRDefault="00151138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EKB a szóban ismertetett javaslatot megvitatta, majd </w:t>
      </w:r>
      <w:proofErr w:type="spellStart"/>
      <w:r>
        <w:rPr>
          <w:rFonts w:ascii="Times New Roman" w:hAnsi="Times New Roman" w:cs="Times New Roman"/>
          <w:sz w:val="24"/>
          <w:szCs w:val="24"/>
        </w:rPr>
        <w:t>Cseszregi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 jelezte, hogy az észrevételek figyelembe vételével módosított eljárásrendet elektronikus úton fogja megküldeni a tagok számára, és javasolta, hogy arról levélszavazás útján döntsön a Bizottság, mely javaslatot a Bizottság támogatott.</w:t>
      </w:r>
    </w:p>
    <w:p w:rsidR="00151138" w:rsidRDefault="00151138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138" w:rsidRDefault="00151138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151138">
        <w:rPr>
          <w:rFonts w:ascii="Times New Roman" w:hAnsi="Times New Roman" w:cs="Times New Roman"/>
          <w:b/>
          <w:sz w:val="24"/>
          <w:szCs w:val="24"/>
        </w:rPr>
        <w:t>1. napirendi pont</w:t>
      </w:r>
      <w:r>
        <w:rPr>
          <w:rFonts w:ascii="Times New Roman" w:hAnsi="Times New Roman" w:cs="Times New Roman"/>
          <w:sz w:val="24"/>
          <w:szCs w:val="24"/>
        </w:rPr>
        <w:t xml:space="preserve"> keretében Horváth Erzsébet felvetése alapján a Bizottság egyetértett abban, hogy a kari kreditátviteli bizottságok egyedi mérlegelésére </w:t>
      </w:r>
      <w:r w:rsidR="000D79F1">
        <w:rPr>
          <w:rFonts w:ascii="Times New Roman" w:hAnsi="Times New Roman" w:cs="Times New Roman"/>
          <w:sz w:val="24"/>
          <w:szCs w:val="24"/>
        </w:rPr>
        <w:t xml:space="preserve">kell bízni </w:t>
      </w:r>
      <w:r>
        <w:rPr>
          <w:rFonts w:ascii="Times New Roman" w:hAnsi="Times New Roman" w:cs="Times New Roman"/>
          <w:sz w:val="24"/>
          <w:szCs w:val="24"/>
        </w:rPr>
        <w:t>az érdemjegy-</w:t>
      </w:r>
      <w:r>
        <w:rPr>
          <w:rFonts w:ascii="Times New Roman" w:hAnsi="Times New Roman" w:cs="Times New Roman"/>
          <w:sz w:val="24"/>
          <w:szCs w:val="24"/>
        </w:rPr>
        <w:lastRenderedPageBreak/>
        <w:t>konvertálást az</w:t>
      </w:r>
      <w:r w:rsidR="00B745F4">
        <w:rPr>
          <w:rFonts w:ascii="Times New Roman" w:hAnsi="Times New Roman" w:cs="Times New Roman"/>
          <w:sz w:val="24"/>
          <w:szCs w:val="24"/>
        </w:rPr>
        <w:t>okban az</w:t>
      </w:r>
      <w:r>
        <w:rPr>
          <w:rFonts w:ascii="Times New Roman" w:hAnsi="Times New Roman" w:cs="Times New Roman"/>
          <w:sz w:val="24"/>
          <w:szCs w:val="24"/>
        </w:rPr>
        <w:t xml:space="preserve"> esetekben, </w:t>
      </w:r>
      <w:r w:rsidRPr="00E81CCF">
        <w:rPr>
          <w:rFonts w:ascii="Times New Roman" w:hAnsi="Times New Roman" w:cs="Times New Roman"/>
          <w:sz w:val="24"/>
          <w:szCs w:val="24"/>
        </w:rPr>
        <w:t>amikor</w:t>
      </w:r>
      <w:r w:rsidRPr="00E81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67A" w:rsidRPr="00E81CCF">
        <w:rPr>
          <w:rFonts w:ascii="Times New Roman" w:hAnsi="Times New Roman" w:cs="Times New Roman"/>
          <w:b/>
          <w:sz w:val="24"/>
          <w:szCs w:val="24"/>
        </w:rPr>
        <w:t>az elismert tanegységek száma nem egyezik meg</w:t>
      </w:r>
      <w:r w:rsidR="00AD467A">
        <w:rPr>
          <w:rFonts w:ascii="Times New Roman" w:hAnsi="Times New Roman" w:cs="Times New Roman"/>
          <w:sz w:val="24"/>
          <w:szCs w:val="24"/>
        </w:rPr>
        <w:t xml:space="preserve"> azon tanegységek számával, amelyeket teljesítettnek minősítenek.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510" w:rsidRDefault="008B7510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510" w:rsidRDefault="008B7510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egyetértett abban is, hogy amennyiben az </w:t>
      </w:r>
      <w:r w:rsidRPr="00E81CCF">
        <w:rPr>
          <w:rFonts w:ascii="Times New Roman" w:hAnsi="Times New Roman" w:cs="Times New Roman"/>
          <w:b/>
          <w:sz w:val="24"/>
          <w:szCs w:val="24"/>
        </w:rPr>
        <w:t>elismert tanegység minősítése eltérő</w:t>
      </w:r>
      <w:r>
        <w:rPr>
          <w:rFonts w:ascii="Times New Roman" w:hAnsi="Times New Roman" w:cs="Times New Roman"/>
          <w:sz w:val="24"/>
          <w:szCs w:val="24"/>
        </w:rPr>
        <w:t xml:space="preserve"> skálán valósult meg, mind azon tanegységé, amelyet teljesítettnek minősítenek, az alábbi konverziót kell alkalmazni:</w:t>
      </w:r>
    </w:p>
    <w:p w:rsidR="008B7510" w:rsidRDefault="008B7510" w:rsidP="008B751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kétfokozatú skála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1-5</w:t>
      </w:r>
    </w:p>
    <w:p w:rsidR="008B7510" w:rsidRDefault="008B7510" w:rsidP="008B751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háromfokozatú skála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1-3-5</w:t>
      </w:r>
    </w:p>
    <w:p w:rsidR="008B7510" w:rsidRDefault="008B7510" w:rsidP="008B751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ötfokozatú skála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1-2-3-4-5</w:t>
      </w:r>
    </w:p>
    <w:p w:rsidR="008B7510" w:rsidRDefault="008B7510" w:rsidP="008B7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510" w:rsidRPr="008B7510" w:rsidRDefault="008B7510" w:rsidP="008B7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10">
        <w:rPr>
          <w:rFonts w:ascii="Times New Roman" w:hAnsi="Times New Roman" w:cs="Times New Roman"/>
          <w:sz w:val="24"/>
          <w:szCs w:val="24"/>
        </w:rPr>
        <w:t xml:space="preserve">Az </w:t>
      </w:r>
      <w:r w:rsidRPr="001574D2">
        <w:rPr>
          <w:rFonts w:ascii="Times New Roman" w:hAnsi="Times New Roman" w:cs="Times New Roman"/>
          <w:b/>
          <w:sz w:val="24"/>
          <w:szCs w:val="24"/>
        </w:rPr>
        <w:t>Egyebekben</w:t>
      </w:r>
      <w:r w:rsidRPr="008B7510">
        <w:rPr>
          <w:rFonts w:ascii="Times New Roman" w:hAnsi="Times New Roman" w:cs="Times New Roman"/>
          <w:sz w:val="24"/>
          <w:szCs w:val="24"/>
        </w:rPr>
        <w:t xml:space="preserve"> észrevétel, hozzászólás nem érkezett, ezek után B</w:t>
      </w:r>
      <w:r w:rsidRPr="008B7510">
        <w:rPr>
          <w:rFonts w:ascii="Times New Roman" w:hAnsi="Times New Roman" w:cs="Times New Roman"/>
          <w:sz w:val="24"/>
          <w:szCs w:val="24"/>
        </w:rPr>
        <w:t>orsodi Csaba megköszönte az aktív közreműködést, és az ülést bezárta.</w:t>
      </w:r>
    </w:p>
    <w:p w:rsidR="008B7510" w:rsidRPr="008B7510" w:rsidRDefault="008B7510" w:rsidP="008B7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138" w:rsidRDefault="00151138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138" w:rsidRDefault="008B7510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2014. április 17.</w:t>
      </w:r>
    </w:p>
    <w:p w:rsidR="008B7510" w:rsidRDefault="008B7510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7510" w:rsidRDefault="008B7510" w:rsidP="008B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Cseszregi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</w:t>
      </w:r>
    </w:p>
    <w:p w:rsidR="008B7510" w:rsidRDefault="008B7510" w:rsidP="008B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oktatási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igazgató</w:t>
      </w:r>
    </w:p>
    <w:p w:rsidR="008B7510" w:rsidRDefault="008B7510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1138" w:rsidRDefault="00151138" w:rsidP="0015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138" w:rsidRDefault="00151138" w:rsidP="00151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138" w:rsidRPr="006362D2" w:rsidRDefault="00151138" w:rsidP="00151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1138" w:rsidRPr="00636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69F" w:rsidRDefault="0044069F" w:rsidP="00CC233E">
      <w:pPr>
        <w:spacing w:after="0" w:line="240" w:lineRule="auto"/>
      </w:pPr>
      <w:r>
        <w:separator/>
      </w:r>
    </w:p>
  </w:endnote>
  <w:endnote w:type="continuationSeparator" w:id="0">
    <w:p w:rsidR="0044069F" w:rsidRDefault="0044069F" w:rsidP="00CC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69F" w:rsidRDefault="0044069F" w:rsidP="00CC233E">
      <w:pPr>
        <w:spacing w:after="0" w:line="240" w:lineRule="auto"/>
      </w:pPr>
      <w:r>
        <w:separator/>
      </w:r>
    </w:p>
  </w:footnote>
  <w:footnote w:type="continuationSeparator" w:id="0">
    <w:p w:rsidR="0044069F" w:rsidRDefault="0044069F" w:rsidP="00CC233E">
      <w:pPr>
        <w:spacing w:after="0" w:line="240" w:lineRule="auto"/>
      </w:pPr>
      <w:r>
        <w:continuationSeparator/>
      </w:r>
    </w:p>
  </w:footnote>
  <w:footnote w:id="1">
    <w:p w:rsidR="00CC233E" w:rsidRPr="00FC5BFE" w:rsidRDefault="00CC233E" w:rsidP="00CC233E">
      <w:pPr>
        <w:pStyle w:val="Lbjegyzetszveg"/>
        <w:jc w:val="both"/>
        <w:rPr>
          <w:rFonts w:ascii="Garamond" w:hAnsi="Garamond" w:cs="Times New Roman"/>
        </w:rPr>
      </w:pPr>
      <w:r w:rsidRPr="00E221AB">
        <w:rPr>
          <w:rStyle w:val="Lbjegyzet-hivatkozs"/>
          <w:rFonts w:ascii="Garamond" w:hAnsi="Garamond" w:cs="Times New Roman"/>
        </w:rPr>
        <w:footnoteRef/>
      </w:r>
      <w:r w:rsidRPr="00E221AB">
        <w:rPr>
          <w:rFonts w:ascii="Garamond" w:hAnsi="Garamond" w:cs="Times New Roman"/>
        </w:rPr>
        <w:t xml:space="preserve"> </w:t>
      </w:r>
      <w:proofErr w:type="gramStart"/>
      <w:r w:rsidRPr="00E221AB">
        <w:rPr>
          <w:rFonts w:ascii="Garamond" w:hAnsi="Garamond" w:cs="Times New Roman"/>
        </w:rPr>
        <w:t>vö.</w:t>
      </w:r>
      <w:proofErr w:type="gramEnd"/>
      <w:r w:rsidRPr="00E221AB">
        <w:rPr>
          <w:rFonts w:ascii="Garamond" w:hAnsi="Garamond" w:cs="Times New Roman"/>
        </w:rPr>
        <w:t xml:space="preserve"> </w:t>
      </w:r>
      <w:r w:rsidRPr="00681AB0">
        <w:rPr>
          <w:rFonts w:ascii="Garamond" w:hAnsi="Garamond" w:cs="Times New Roman"/>
        </w:rPr>
        <w:t xml:space="preserve">79/2006. (IV. 5). Korm. rendelet </w:t>
      </w:r>
      <w:r>
        <w:rPr>
          <w:rFonts w:ascii="Garamond" w:hAnsi="Garamond" w:cs="Times New Roman"/>
        </w:rPr>
        <w:t xml:space="preserve">23. § (10) </w:t>
      </w:r>
      <w:r w:rsidRPr="00FC5BFE">
        <w:rPr>
          <w:rStyle w:val="apple-style-span"/>
          <w:rFonts w:ascii="Garamond" w:hAnsi="Garamond"/>
          <w:color w:val="000000"/>
        </w:rPr>
        <w:t>A felsőoktatási törvény 58. §</w:t>
      </w:r>
      <w:proofErr w:type="spellStart"/>
      <w:r w:rsidRPr="00FC5BFE">
        <w:rPr>
          <w:rStyle w:val="apple-style-span"/>
          <w:rFonts w:ascii="Garamond" w:hAnsi="Garamond"/>
          <w:color w:val="000000"/>
        </w:rPr>
        <w:t>-ának</w:t>
      </w:r>
      <w:proofErr w:type="spellEnd"/>
      <w:r w:rsidRPr="00FC5BFE">
        <w:rPr>
          <w:rStyle w:val="apple-style-span"/>
          <w:rFonts w:ascii="Garamond" w:hAnsi="Garamond"/>
          <w:color w:val="000000"/>
        </w:rPr>
        <w:t xml:space="preserve"> (7) bekezdése alapján elismert tanulmányi teljesítmény kreditértéke megegyezik annak a tantervi követelménynek a kreditértékével, amelyet teljesítettnek minősítenek, a megszerzett érdemjegy azonban a tantárgyak elismerésekor nem módosítható.</w:t>
      </w:r>
    </w:p>
  </w:footnote>
  <w:footnote w:id="2">
    <w:p w:rsidR="00CC233E" w:rsidRPr="00681AB0" w:rsidRDefault="00CC233E" w:rsidP="00CC233E">
      <w:pPr>
        <w:pStyle w:val="Lbjegyzetszveg"/>
        <w:jc w:val="both"/>
        <w:rPr>
          <w:rFonts w:ascii="Garamond" w:hAnsi="Garamond"/>
        </w:rPr>
      </w:pPr>
      <w:r w:rsidRPr="00681AB0">
        <w:rPr>
          <w:rStyle w:val="Lbjegyzet-hivatkozs"/>
          <w:rFonts w:ascii="Garamond" w:hAnsi="Garamond"/>
        </w:rPr>
        <w:footnoteRef/>
      </w:r>
      <w:r w:rsidRPr="00681AB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HKR 58. § (4) </w:t>
      </w:r>
      <w:r w:rsidRPr="00681AB0">
        <w:rPr>
          <w:rFonts w:ascii="Garamond" w:hAnsi="Garamond"/>
        </w:rPr>
        <w:t xml:space="preserve">Az </w:t>
      </w:r>
      <w:proofErr w:type="spellStart"/>
      <w:r w:rsidRPr="00681AB0">
        <w:rPr>
          <w:rFonts w:ascii="Garamond" w:hAnsi="Garamond"/>
        </w:rPr>
        <w:t>Nftv</w:t>
      </w:r>
      <w:proofErr w:type="spellEnd"/>
      <w:r w:rsidRPr="00681AB0">
        <w:rPr>
          <w:rFonts w:ascii="Garamond" w:hAnsi="Garamond"/>
        </w:rPr>
        <w:t>. 49. § (2) bekezdése szerinti lehetőségen felüli kurzusok felvételéért (beleértve a bármely ok miatt nem teljesített kurzus újbóli felvételét is) a hallgató a jelen Szabályzat VII. fejezetében foglaltak alapján külön térítést fizet</w:t>
      </w:r>
    </w:p>
  </w:footnote>
  <w:footnote w:id="3">
    <w:p w:rsidR="00CC233E" w:rsidRPr="00FC5BFE" w:rsidRDefault="00CC233E" w:rsidP="00CC233E">
      <w:pPr>
        <w:pStyle w:val="Lbjegyzetszveg"/>
        <w:rPr>
          <w:rFonts w:ascii="Garamond" w:hAnsi="Garamond"/>
        </w:rPr>
      </w:pPr>
      <w:r w:rsidRPr="00FC5BFE">
        <w:rPr>
          <w:rStyle w:val="Lbjegyzet-hivatkozs"/>
          <w:rFonts w:ascii="Garamond" w:hAnsi="Garamond"/>
        </w:rPr>
        <w:footnoteRef/>
      </w:r>
      <w:r w:rsidRPr="00FC5BFE">
        <w:rPr>
          <w:rFonts w:ascii="Garamond" w:hAnsi="Garamond"/>
        </w:rPr>
        <w:t xml:space="preserve"> </w:t>
      </w:r>
      <w:proofErr w:type="gramStart"/>
      <w:r w:rsidRPr="00FC5BFE">
        <w:rPr>
          <w:rFonts w:ascii="Garamond" w:hAnsi="Garamond"/>
        </w:rPr>
        <w:t>ld.</w:t>
      </w:r>
      <w:proofErr w:type="gramEnd"/>
      <w:r w:rsidRPr="00FC5BFE">
        <w:rPr>
          <w:rFonts w:ascii="Garamond" w:hAnsi="Garamond"/>
        </w:rPr>
        <w:t xml:space="preserve"> 79/2006. (IV. 5.) Korm. rend. </w:t>
      </w:r>
      <w:r>
        <w:rPr>
          <w:rFonts w:ascii="Garamond" w:hAnsi="Garamond"/>
        </w:rPr>
        <w:t xml:space="preserve">24. § (3) </w:t>
      </w:r>
      <w:r w:rsidRPr="00FC5BFE">
        <w:rPr>
          <w:rFonts w:ascii="Garamond" w:hAnsi="Garamond"/>
        </w:rPr>
        <w:t>(...) A korrigált kreditindex a kreditindexből egy, a félév során teljesített és az egyéni tanrendben vállalt kreditek arányának megfelelő szorzótényezővel számítható.</w:t>
      </w:r>
    </w:p>
  </w:footnote>
  <w:footnote w:id="4">
    <w:p w:rsidR="00CC233E" w:rsidRDefault="00CC233E" w:rsidP="00CC233E">
      <w:pPr>
        <w:pStyle w:val="Lbjegyzetszveg"/>
      </w:pPr>
      <w:r w:rsidRPr="009918E3">
        <w:rPr>
          <w:rStyle w:val="Lbjegyzet-hivatkozs"/>
          <w:rFonts w:ascii="Garamond" w:hAnsi="Garamond"/>
        </w:rPr>
        <w:footnoteRef/>
      </w:r>
      <w:r w:rsidRPr="009918E3">
        <w:rPr>
          <w:rFonts w:ascii="Garamond" w:hAnsi="Garamond"/>
        </w:rPr>
        <w:t xml:space="preserve"> </w:t>
      </w:r>
      <w:proofErr w:type="spellStart"/>
      <w:r w:rsidRPr="009918E3">
        <w:rPr>
          <w:rFonts w:ascii="Garamond" w:hAnsi="Garamond"/>
        </w:rPr>
        <w:t>vö</w:t>
      </w:r>
      <w:proofErr w:type="spellEnd"/>
      <w:r w:rsidRPr="009918E3">
        <w:rPr>
          <w:rFonts w:ascii="Garamond" w:hAnsi="Garamond"/>
        </w:rPr>
        <w:t xml:space="preserve"> HKR </w:t>
      </w:r>
      <w:r>
        <w:rPr>
          <w:rFonts w:ascii="Garamond" w:hAnsi="Garamond"/>
        </w:rPr>
        <w:t xml:space="preserve">132. § (7) </w:t>
      </w:r>
      <w:r w:rsidRPr="009918E3">
        <w:rPr>
          <w:rFonts w:ascii="Garamond" w:hAnsi="Garamond"/>
        </w:rPr>
        <w:t xml:space="preserve">Az a hallgató, aki Erasmus ösztöndíj keretében végezte az átsorolás alapjául szolgáló utolsó két féléve közül legalább az </w:t>
      </w:r>
      <w:proofErr w:type="gramStart"/>
      <w:r w:rsidRPr="009918E3">
        <w:rPr>
          <w:rFonts w:ascii="Garamond" w:hAnsi="Garamond"/>
        </w:rPr>
        <w:t>egyik  félév</w:t>
      </w:r>
      <w:proofErr w:type="gramEnd"/>
      <w:r w:rsidRPr="009918E3">
        <w:rPr>
          <w:rFonts w:ascii="Garamond" w:hAnsi="Garamond"/>
        </w:rPr>
        <w:t xml:space="preserve"> vala</w:t>
      </w:r>
      <w:r>
        <w:rPr>
          <w:rFonts w:ascii="Garamond" w:hAnsi="Garamond"/>
        </w:rPr>
        <w:t xml:space="preserve">mely időszakát, vagy kivételes </w:t>
      </w:r>
      <w:r w:rsidRPr="009918E3">
        <w:rPr>
          <w:rFonts w:ascii="Garamond" w:hAnsi="Garamond"/>
        </w:rPr>
        <w:t xml:space="preserve">tanulmányi rendet engedélyeztek számára, </w:t>
      </w:r>
      <w:r>
        <w:rPr>
          <w:rFonts w:ascii="Garamond" w:hAnsi="Garamond"/>
        </w:rPr>
        <w:t>s</w:t>
      </w:r>
      <w:r w:rsidRPr="009918E3">
        <w:rPr>
          <w:rFonts w:ascii="Garamond" w:hAnsi="Garamond"/>
        </w:rPr>
        <w:t>zintén mentesül az átsorolás alól.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B5E4E"/>
    <w:multiLevelType w:val="hybridMultilevel"/>
    <w:tmpl w:val="2FDEBB1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F5E9A"/>
    <w:multiLevelType w:val="hybridMultilevel"/>
    <w:tmpl w:val="214255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82170"/>
    <w:multiLevelType w:val="hybridMultilevel"/>
    <w:tmpl w:val="F6304C7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D1FB8"/>
    <w:multiLevelType w:val="hybridMultilevel"/>
    <w:tmpl w:val="2FDEBB1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169B3"/>
    <w:multiLevelType w:val="hybridMultilevel"/>
    <w:tmpl w:val="7B12D2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3E"/>
    <w:rsid w:val="000D79F1"/>
    <w:rsid w:val="00151138"/>
    <w:rsid w:val="001574D2"/>
    <w:rsid w:val="002B2850"/>
    <w:rsid w:val="0044069F"/>
    <w:rsid w:val="006362D2"/>
    <w:rsid w:val="00885FA0"/>
    <w:rsid w:val="008B7510"/>
    <w:rsid w:val="00AD467A"/>
    <w:rsid w:val="00B745F4"/>
    <w:rsid w:val="00CC233E"/>
    <w:rsid w:val="00E81CCF"/>
    <w:rsid w:val="00F7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EC634-E370-4922-903D-7146CD08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23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233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C233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C233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C233E"/>
    <w:rPr>
      <w:vertAlign w:val="superscript"/>
    </w:rPr>
  </w:style>
  <w:style w:type="character" w:customStyle="1" w:styleId="apple-style-span">
    <w:name w:val="apple-style-span"/>
    <w:basedOn w:val="Bekezdsalapbettpusa"/>
    <w:rsid w:val="00CC233E"/>
  </w:style>
  <w:style w:type="paragraph" w:styleId="Szvegtrzs">
    <w:name w:val="Body Text"/>
    <w:basedOn w:val="Norml"/>
    <w:link w:val="SzvegtrzsChar"/>
    <w:rsid w:val="00885F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85FA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721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cseszi</dc:creator>
  <cp:keywords/>
  <dc:description/>
  <cp:lastModifiedBy>cseszi</cp:lastModifiedBy>
  <cp:revision>10</cp:revision>
  <dcterms:created xsi:type="dcterms:W3CDTF">2014-04-17T13:10:00Z</dcterms:created>
  <dcterms:modified xsi:type="dcterms:W3CDTF">2014-04-17T13:37:00Z</dcterms:modified>
</cp:coreProperties>
</file>