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00" w:rsidRPr="00147FA1" w:rsidRDefault="00C2394C" w:rsidP="00147FA1">
      <w:pPr>
        <w:spacing w:after="0" w:line="240" w:lineRule="auto"/>
        <w:rPr>
          <w:b/>
          <w:sz w:val="28"/>
        </w:rPr>
      </w:pPr>
      <w:r>
        <w:rPr>
          <w:noProof/>
          <w:lang w:val="hu-HU" w:eastAsia="hu-HU"/>
        </w:rPr>
        <w:drawing>
          <wp:inline distT="0" distB="0" distL="0" distR="0" wp14:anchorId="3F4BE418" wp14:editId="5D7A5504">
            <wp:extent cx="857250" cy="571500"/>
            <wp:effectExtent l="0" t="0" r="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5379" cy="583586"/>
                    </a:xfrm>
                    <a:prstGeom prst="rect">
                      <a:avLst/>
                    </a:prstGeom>
                  </pic:spPr>
                </pic:pic>
              </a:graphicData>
            </a:graphic>
          </wp:inline>
        </w:drawing>
      </w:r>
      <w:r w:rsidR="00147FA1">
        <w:rPr>
          <w:b/>
        </w:rPr>
        <w:tab/>
      </w:r>
      <w:r w:rsidR="00147FA1">
        <w:rPr>
          <w:b/>
        </w:rPr>
        <w:tab/>
      </w:r>
      <w:r w:rsidR="00147FA1">
        <w:rPr>
          <w:b/>
        </w:rPr>
        <w:tab/>
      </w:r>
      <w:r w:rsidR="00147FA1">
        <w:rPr>
          <w:b/>
        </w:rPr>
        <w:tab/>
      </w:r>
      <w:r w:rsidRPr="00147FA1">
        <w:rPr>
          <w:b/>
          <w:sz w:val="28"/>
        </w:rPr>
        <w:t xml:space="preserve">Erasmus + </w:t>
      </w:r>
      <w:proofErr w:type="spellStart"/>
      <w:r w:rsidRPr="00147FA1">
        <w:rPr>
          <w:b/>
          <w:sz w:val="28"/>
        </w:rPr>
        <w:t>Programme</w:t>
      </w:r>
      <w:proofErr w:type="spellEnd"/>
    </w:p>
    <w:p w:rsidR="00C2394C" w:rsidRPr="00147FA1" w:rsidRDefault="00C2394C" w:rsidP="00147FA1">
      <w:pPr>
        <w:spacing w:after="0" w:line="240" w:lineRule="auto"/>
        <w:jc w:val="center"/>
        <w:rPr>
          <w:b/>
          <w:sz w:val="28"/>
        </w:rPr>
      </w:pPr>
      <w:r w:rsidRPr="00147FA1">
        <w:rPr>
          <w:b/>
          <w:sz w:val="28"/>
        </w:rPr>
        <w:t>Appendix to the Erasmus</w:t>
      </w:r>
      <w:r w:rsidR="00147FA1" w:rsidRPr="00147FA1">
        <w:rPr>
          <w:b/>
          <w:sz w:val="28"/>
        </w:rPr>
        <w:t>+ Inter-Institutional</w:t>
      </w:r>
      <w:r w:rsidRPr="00147FA1">
        <w:rPr>
          <w:b/>
          <w:sz w:val="28"/>
        </w:rPr>
        <w:t xml:space="preserve"> Bilateral Agreement</w:t>
      </w:r>
    </w:p>
    <w:p w:rsidR="00C2394C" w:rsidRPr="00147FA1" w:rsidRDefault="00C2394C" w:rsidP="00147FA1">
      <w:pPr>
        <w:spacing w:after="0" w:line="240" w:lineRule="auto"/>
        <w:jc w:val="center"/>
        <w:rPr>
          <w:b/>
          <w:sz w:val="28"/>
        </w:rPr>
      </w:pPr>
      <w:r w:rsidRPr="00147FA1">
        <w:rPr>
          <w:b/>
          <w:sz w:val="28"/>
        </w:rPr>
        <w:t>2014/2015 – 2020</w:t>
      </w:r>
      <w:r w:rsidR="00B17DA0">
        <w:rPr>
          <w:b/>
          <w:sz w:val="28"/>
        </w:rPr>
        <w:t>/</w:t>
      </w:r>
      <w:r w:rsidRPr="00147FA1">
        <w:rPr>
          <w:b/>
          <w:sz w:val="28"/>
        </w:rPr>
        <w:t>2021</w:t>
      </w:r>
    </w:p>
    <w:p w:rsidR="00147FA1" w:rsidRPr="00147FA1" w:rsidRDefault="00147FA1" w:rsidP="00147FA1">
      <w:pPr>
        <w:rPr>
          <w:b/>
        </w:rPr>
      </w:pPr>
    </w:p>
    <w:p w:rsidR="00C2394C" w:rsidRPr="00147FA1" w:rsidRDefault="00C2394C" w:rsidP="00147FA1">
      <w:pPr>
        <w:rPr>
          <w:b/>
          <w:sz w:val="28"/>
        </w:rPr>
      </w:pPr>
      <w:proofErr w:type="spellStart"/>
      <w:r w:rsidRPr="00147FA1">
        <w:rPr>
          <w:b/>
          <w:sz w:val="28"/>
        </w:rPr>
        <w:t>Eötvös</w:t>
      </w:r>
      <w:proofErr w:type="spellEnd"/>
      <w:r w:rsidRPr="00147FA1">
        <w:rPr>
          <w:b/>
          <w:sz w:val="28"/>
        </w:rPr>
        <w:t xml:space="preserve"> </w:t>
      </w:r>
      <w:proofErr w:type="spellStart"/>
      <w:r w:rsidRPr="00147FA1">
        <w:rPr>
          <w:b/>
          <w:sz w:val="28"/>
        </w:rPr>
        <w:t>Loránd</w:t>
      </w:r>
      <w:proofErr w:type="spellEnd"/>
      <w:r w:rsidRPr="00147FA1">
        <w:rPr>
          <w:b/>
          <w:sz w:val="28"/>
        </w:rPr>
        <w:t xml:space="preserve"> University (HU BUDAPES01)</w:t>
      </w:r>
    </w:p>
    <w:p w:rsidR="00C2394C" w:rsidRPr="00D670E4" w:rsidRDefault="00C2394C" w:rsidP="00C2394C">
      <w:pPr>
        <w:keepNext/>
        <w:keepLines/>
        <w:tabs>
          <w:tab w:val="left" w:pos="426"/>
        </w:tabs>
        <w:spacing w:after="0" w:line="240" w:lineRule="auto"/>
        <w:rPr>
          <w:rFonts w:ascii="Verdana" w:hAnsi="Verdana"/>
          <w:b/>
          <w:color w:val="002060"/>
          <w:sz w:val="20"/>
          <w:lang w:val="en-GB"/>
        </w:rPr>
      </w:pPr>
      <w:r w:rsidRPr="00D670E4">
        <w:rPr>
          <w:rFonts w:ascii="Verdana" w:hAnsi="Verdana"/>
          <w:b/>
          <w:color w:val="002060"/>
          <w:sz w:val="20"/>
          <w:lang w:val="en-GB"/>
        </w:rPr>
        <w:t>C.</w:t>
      </w:r>
      <w:r w:rsidRPr="00D670E4">
        <w:rPr>
          <w:rFonts w:ascii="Verdana" w:hAnsi="Verdana"/>
          <w:b/>
          <w:color w:val="002060"/>
          <w:sz w:val="20"/>
          <w:lang w:val="en-GB"/>
        </w:rPr>
        <w:tab/>
        <w:t>Recommended language skills</w:t>
      </w:r>
    </w:p>
    <w:p w:rsidR="00C2394C" w:rsidRPr="00F92867" w:rsidRDefault="00C2394C" w:rsidP="00C2394C">
      <w:pPr>
        <w:spacing w:after="0" w:line="240" w:lineRule="auto"/>
        <w:jc w:val="both"/>
        <w:rPr>
          <w:rFonts w:ascii="Verdana" w:hAnsi="Verdana"/>
          <w:sz w:val="16"/>
          <w:lang w:val="en-GB"/>
        </w:rPr>
      </w:pPr>
      <w:r w:rsidRPr="00F92867">
        <w:rPr>
          <w:rFonts w:ascii="Verdana" w:hAnsi="Verdana"/>
          <w:sz w:val="16"/>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100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68"/>
        <w:gridCol w:w="1134"/>
        <w:gridCol w:w="1417"/>
        <w:gridCol w:w="1418"/>
        <w:gridCol w:w="2126"/>
        <w:gridCol w:w="2268"/>
      </w:tblGrid>
      <w:tr w:rsidR="00C2394C" w:rsidRPr="00D670E4" w:rsidTr="002B2371">
        <w:tc>
          <w:tcPr>
            <w:tcW w:w="1668" w:type="dxa"/>
            <w:vMerge w:val="restart"/>
            <w:shd w:val="clear" w:color="auto" w:fill="003399"/>
          </w:tcPr>
          <w:p w:rsidR="00C2394C" w:rsidRPr="00D670E4" w:rsidRDefault="00C2394C" w:rsidP="002B2371">
            <w:pPr>
              <w:jc w:val="center"/>
              <w:rPr>
                <w:rFonts w:ascii="Verdana" w:hAnsi="Verdana"/>
                <w:b/>
                <w:bCs/>
                <w:color w:val="FFFFFF"/>
                <w:sz w:val="18"/>
                <w:lang w:val="en-GB"/>
              </w:rPr>
            </w:pPr>
            <w:r w:rsidRPr="00D670E4">
              <w:rPr>
                <w:rFonts w:ascii="Verdana" w:hAnsi="Verdana"/>
                <w:b/>
                <w:bCs/>
                <w:color w:val="FFFFFF"/>
                <w:sz w:val="18"/>
                <w:lang w:val="en-GB"/>
              </w:rPr>
              <w:t>Receiving institution</w:t>
            </w:r>
            <w:r w:rsidRPr="00D670E4">
              <w:rPr>
                <w:rFonts w:ascii="Verdana" w:hAnsi="Verdana"/>
                <w:b/>
                <w:bCs/>
                <w:color w:val="FFFFFF"/>
                <w:sz w:val="18"/>
                <w:lang w:val="en-GB"/>
              </w:rPr>
              <w:br/>
            </w:r>
            <w:r w:rsidRPr="00D670E4">
              <w:rPr>
                <w:rFonts w:ascii="Verdana" w:hAnsi="Verdana"/>
                <w:b/>
                <w:bCs/>
                <w:color w:val="FFFFFF"/>
                <w:sz w:val="18"/>
                <w:lang w:val="en-GB"/>
              </w:rPr>
              <w:br/>
            </w:r>
            <w:r w:rsidRPr="00D670E4">
              <w:rPr>
                <w:rFonts w:ascii="Verdana" w:hAnsi="Verdana"/>
                <w:b/>
                <w:bCs/>
                <w:color w:val="FFFFFF"/>
                <w:sz w:val="18"/>
                <w:szCs w:val="16"/>
                <w:lang w:val="en-GB"/>
              </w:rPr>
              <w:t>[Erasmus code]</w:t>
            </w:r>
          </w:p>
        </w:tc>
        <w:tc>
          <w:tcPr>
            <w:tcW w:w="1134" w:type="dxa"/>
            <w:vMerge w:val="restart"/>
            <w:shd w:val="clear" w:color="auto" w:fill="003399"/>
          </w:tcPr>
          <w:p w:rsidR="00C2394C" w:rsidRPr="00D670E4" w:rsidRDefault="00C2394C" w:rsidP="002B2371">
            <w:pPr>
              <w:jc w:val="center"/>
              <w:rPr>
                <w:rFonts w:ascii="Verdana" w:hAnsi="Verdana"/>
                <w:b/>
                <w:bCs/>
                <w:i/>
                <w:color w:val="FFFFFF"/>
                <w:sz w:val="18"/>
                <w:lang w:val="en-GB"/>
              </w:rPr>
            </w:pPr>
            <w:r w:rsidRPr="00D670E4">
              <w:rPr>
                <w:rFonts w:ascii="Verdana" w:hAnsi="Verdana"/>
                <w:b/>
                <w:bCs/>
                <w:i/>
                <w:color w:val="FFFFFF"/>
                <w:sz w:val="18"/>
                <w:lang w:val="en-GB"/>
              </w:rPr>
              <w:t xml:space="preserve">Optional: Subject area </w:t>
            </w:r>
          </w:p>
        </w:tc>
        <w:tc>
          <w:tcPr>
            <w:tcW w:w="1417" w:type="dxa"/>
            <w:vMerge w:val="restart"/>
            <w:shd w:val="clear" w:color="auto" w:fill="003399"/>
          </w:tcPr>
          <w:p w:rsidR="00C2394C" w:rsidRPr="00D670E4" w:rsidRDefault="00C2394C" w:rsidP="002B2371">
            <w:pPr>
              <w:jc w:val="center"/>
              <w:rPr>
                <w:rFonts w:ascii="Verdana" w:hAnsi="Verdana"/>
                <w:b/>
                <w:bCs/>
                <w:color w:val="FFFFFF"/>
                <w:sz w:val="18"/>
                <w:lang w:val="en-GB"/>
              </w:rPr>
            </w:pPr>
            <w:r w:rsidRPr="00D670E4">
              <w:rPr>
                <w:rFonts w:ascii="Verdana" w:hAnsi="Verdana"/>
                <w:b/>
                <w:bCs/>
                <w:color w:val="FFFFFF"/>
                <w:sz w:val="18"/>
                <w:lang w:val="en-GB"/>
              </w:rPr>
              <w:t>Language</w:t>
            </w:r>
            <w:r w:rsidRPr="00D670E4">
              <w:rPr>
                <w:rFonts w:ascii="Verdana" w:hAnsi="Verdana"/>
                <w:b/>
                <w:bCs/>
                <w:color w:val="FFFFFF"/>
                <w:sz w:val="18"/>
                <w:lang w:val="en-GB"/>
              </w:rPr>
              <w:br/>
              <w:t>of instruc</w:t>
            </w:r>
            <w:r w:rsidRPr="00D670E4">
              <w:rPr>
                <w:rFonts w:ascii="Verdana" w:hAnsi="Verdana"/>
                <w:b/>
                <w:bCs/>
                <w:color w:val="FFFFFF"/>
                <w:sz w:val="18"/>
                <w:lang w:val="en-GB"/>
              </w:rPr>
              <w:softHyphen/>
              <w:t>tion 1</w:t>
            </w:r>
          </w:p>
        </w:tc>
        <w:tc>
          <w:tcPr>
            <w:tcW w:w="1418" w:type="dxa"/>
            <w:vMerge w:val="restart"/>
            <w:shd w:val="clear" w:color="auto" w:fill="003399"/>
          </w:tcPr>
          <w:p w:rsidR="00C2394C" w:rsidRPr="00D670E4" w:rsidRDefault="00C2394C" w:rsidP="002B2371">
            <w:pPr>
              <w:jc w:val="center"/>
              <w:rPr>
                <w:rFonts w:ascii="Verdana" w:hAnsi="Verdana"/>
                <w:b/>
                <w:bCs/>
                <w:color w:val="FFFFFF"/>
                <w:sz w:val="18"/>
                <w:lang w:val="en-GB"/>
              </w:rPr>
            </w:pPr>
            <w:r w:rsidRPr="00D670E4">
              <w:rPr>
                <w:rFonts w:ascii="Verdana" w:hAnsi="Verdana"/>
                <w:b/>
                <w:bCs/>
                <w:color w:val="FFFFFF"/>
                <w:sz w:val="18"/>
                <w:lang w:val="en-GB"/>
              </w:rPr>
              <w:t>Language</w:t>
            </w:r>
            <w:r w:rsidRPr="00D670E4">
              <w:rPr>
                <w:rFonts w:ascii="Verdana" w:hAnsi="Verdana"/>
                <w:b/>
                <w:bCs/>
                <w:color w:val="FFFFFF"/>
                <w:sz w:val="18"/>
                <w:lang w:val="en-GB"/>
              </w:rPr>
              <w:br/>
              <w:t>of instruc</w:t>
            </w:r>
            <w:r w:rsidRPr="00D670E4">
              <w:rPr>
                <w:rFonts w:ascii="Verdana" w:hAnsi="Verdana"/>
                <w:b/>
                <w:bCs/>
                <w:color w:val="FFFFFF"/>
                <w:sz w:val="18"/>
                <w:lang w:val="en-GB"/>
              </w:rPr>
              <w:softHyphen/>
              <w:t>tion 2</w:t>
            </w:r>
          </w:p>
        </w:tc>
        <w:tc>
          <w:tcPr>
            <w:tcW w:w="4394" w:type="dxa"/>
            <w:gridSpan w:val="2"/>
            <w:shd w:val="clear" w:color="auto" w:fill="003399"/>
          </w:tcPr>
          <w:p w:rsidR="00C2394C" w:rsidRPr="00D670E4" w:rsidRDefault="00C2394C" w:rsidP="002B2371">
            <w:pPr>
              <w:jc w:val="center"/>
              <w:rPr>
                <w:rFonts w:ascii="Verdana" w:hAnsi="Verdana"/>
                <w:b/>
                <w:bCs/>
                <w:color w:val="FFFFFF"/>
                <w:sz w:val="18"/>
                <w:lang w:val="en-GB"/>
              </w:rPr>
            </w:pPr>
            <w:r w:rsidRPr="00D670E4">
              <w:rPr>
                <w:rFonts w:ascii="Verdana" w:hAnsi="Verdana"/>
                <w:b/>
                <w:bCs/>
                <w:color w:val="FFFFFF"/>
                <w:sz w:val="18"/>
                <w:lang w:val="en-GB"/>
              </w:rPr>
              <w:t>Recommended language of instruction level</w:t>
            </w:r>
            <w:r w:rsidRPr="00D670E4">
              <w:rPr>
                <w:rStyle w:val="Lbjegyzet-hivatkozs"/>
                <w:rFonts w:ascii="Verdana" w:hAnsi="Verdana"/>
                <w:b/>
                <w:bCs/>
                <w:color w:val="FFFFFF"/>
                <w:sz w:val="18"/>
                <w:lang w:val="en-GB"/>
              </w:rPr>
              <w:footnoteReference w:id="1"/>
            </w:r>
          </w:p>
        </w:tc>
      </w:tr>
      <w:tr w:rsidR="00C2394C" w:rsidRPr="00D670E4" w:rsidTr="002B2371">
        <w:tc>
          <w:tcPr>
            <w:tcW w:w="1668" w:type="dxa"/>
            <w:vMerge/>
            <w:shd w:val="clear" w:color="auto" w:fill="003399"/>
          </w:tcPr>
          <w:p w:rsidR="00C2394C" w:rsidRPr="00D670E4" w:rsidRDefault="00C2394C" w:rsidP="002B2371">
            <w:pPr>
              <w:rPr>
                <w:rFonts w:ascii="Verdana" w:hAnsi="Verdana"/>
                <w:sz w:val="18"/>
                <w:lang w:val="en-GB"/>
              </w:rPr>
            </w:pPr>
          </w:p>
        </w:tc>
        <w:tc>
          <w:tcPr>
            <w:tcW w:w="1134" w:type="dxa"/>
            <w:vMerge/>
            <w:shd w:val="clear" w:color="auto" w:fill="003399"/>
          </w:tcPr>
          <w:p w:rsidR="00C2394C" w:rsidRPr="00D670E4" w:rsidRDefault="00C2394C" w:rsidP="002B2371">
            <w:pPr>
              <w:rPr>
                <w:rFonts w:ascii="Verdana" w:hAnsi="Verdana"/>
                <w:sz w:val="18"/>
                <w:lang w:val="en-GB"/>
              </w:rPr>
            </w:pPr>
          </w:p>
        </w:tc>
        <w:tc>
          <w:tcPr>
            <w:tcW w:w="1417" w:type="dxa"/>
            <w:vMerge/>
            <w:shd w:val="clear" w:color="auto" w:fill="003399"/>
          </w:tcPr>
          <w:p w:rsidR="00C2394C" w:rsidRPr="00D670E4" w:rsidRDefault="00C2394C" w:rsidP="002B2371">
            <w:pPr>
              <w:rPr>
                <w:rFonts w:ascii="Verdana" w:hAnsi="Verdana"/>
                <w:sz w:val="18"/>
                <w:lang w:val="en-GB"/>
              </w:rPr>
            </w:pPr>
          </w:p>
        </w:tc>
        <w:tc>
          <w:tcPr>
            <w:tcW w:w="1418" w:type="dxa"/>
            <w:vMerge/>
            <w:shd w:val="clear" w:color="auto" w:fill="003399"/>
          </w:tcPr>
          <w:p w:rsidR="00C2394C" w:rsidRPr="00D670E4" w:rsidRDefault="00C2394C" w:rsidP="002B2371">
            <w:pPr>
              <w:rPr>
                <w:rFonts w:ascii="Verdana" w:hAnsi="Verdana"/>
                <w:sz w:val="18"/>
                <w:lang w:val="en-GB"/>
              </w:rPr>
            </w:pPr>
          </w:p>
        </w:tc>
        <w:tc>
          <w:tcPr>
            <w:tcW w:w="2126" w:type="dxa"/>
            <w:shd w:val="clear" w:color="auto" w:fill="003399"/>
          </w:tcPr>
          <w:p w:rsidR="00C2394C" w:rsidRPr="00D670E4" w:rsidRDefault="00C2394C" w:rsidP="002B2371">
            <w:pPr>
              <w:spacing w:after="120"/>
              <w:jc w:val="center"/>
              <w:rPr>
                <w:rFonts w:ascii="Verdana" w:hAnsi="Verdana"/>
                <w:color w:val="FFFFFF"/>
                <w:sz w:val="18"/>
                <w:lang w:val="en-GB"/>
              </w:rPr>
            </w:pPr>
            <w:r w:rsidRPr="00D670E4">
              <w:rPr>
                <w:rFonts w:ascii="Verdana" w:hAnsi="Verdana"/>
                <w:color w:val="FFFFFF"/>
                <w:sz w:val="18"/>
                <w:lang w:val="en-GB"/>
              </w:rPr>
              <w:t>Student Mobility for Studies</w:t>
            </w:r>
          </w:p>
          <w:p w:rsidR="00C2394C" w:rsidRPr="00D670E4" w:rsidRDefault="00C2394C" w:rsidP="002B2371">
            <w:pPr>
              <w:spacing w:after="0"/>
              <w:jc w:val="center"/>
              <w:rPr>
                <w:rFonts w:ascii="Verdana" w:hAnsi="Verdana"/>
                <w:i/>
                <w:color w:val="FFFFFF"/>
                <w:sz w:val="18"/>
                <w:lang w:val="en-GB"/>
              </w:rPr>
            </w:pPr>
            <w:r w:rsidRPr="00D670E4">
              <w:rPr>
                <w:rFonts w:ascii="Verdana" w:hAnsi="Verdana"/>
                <w:sz w:val="16"/>
                <w:szCs w:val="16"/>
                <w:lang w:val="en-GB"/>
              </w:rPr>
              <w:t>[</w:t>
            </w:r>
            <w:r w:rsidRPr="00D670E4">
              <w:rPr>
                <w:rFonts w:ascii="Verdana" w:hAnsi="Verdana"/>
                <w:i/>
                <w:color w:val="FFFFFF"/>
                <w:sz w:val="16"/>
                <w:szCs w:val="16"/>
                <w:lang w:val="en-GB"/>
              </w:rPr>
              <w:t>Minimum recommended level: B1</w:t>
            </w:r>
            <w:r w:rsidRPr="00D670E4">
              <w:rPr>
                <w:rFonts w:ascii="Verdana" w:hAnsi="Verdana"/>
                <w:sz w:val="16"/>
                <w:szCs w:val="16"/>
                <w:lang w:val="en-GB"/>
              </w:rPr>
              <w:t>]</w:t>
            </w:r>
          </w:p>
        </w:tc>
        <w:tc>
          <w:tcPr>
            <w:tcW w:w="2268" w:type="dxa"/>
            <w:shd w:val="clear" w:color="auto" w:fill="003399"/>
          </w:tcPr>
          <w:p w:rsidR="00C2394C" w:rsidRPr="00D670E4" w:rsidRDefault="00C2394C" w:rsidP="002B2371">
            <w:pPr>
              <w:spacing w:after="120"/>
              <w:jc w:val="center"/>
              <w:rPr>
                <w:rFonts w:ascii="Verdana" w:hAnsi="Verdana"/>
                <w:color w:val="FFFFFF"/>
                <w:sz w:val="18"/>
                <w:lang w:val="en-GB"/>
              </w:rPr>
            </w:pPr>
            <w:r w:rsidRPr="00D670E4">
              <w:rPr>
                <w:rFonts w:ascii="Verdana" w:hAnsi="Verdana"/>
                <w:color w:val="FFFFFF"/>
                <w:sz w:val="18"/>
                <w:lang w:val="en-GB"/>
              </w:rPr>
              <w:t>Staff Mobility for Teaching</w:t>
            </w:r>
          </w:p>
          <w:p w:rsidR="00C2394C" w:rsidRPr="00D670E4" w:rsidRDefault="00C2394C" w:rsidP="002B2371">
            <w:pPr>
              <w:jc w:val="center"/>
              <w:rPr>
                <w:rFonts w:ascii="Verdana" w:hAnsi="Verdana"/>
                <w:color w:val="FFFFFF"/>
                <w:sz w:val="18"/>
                <w:lang w:val="en-GB"/>
              </w:rPr>
            </w:pPr>
            <w:r w:rsidRPr="00D670E4">
              <w:rPr>
                <w:rFonts w:ascii="Verdana" w:hAnsi="Verdana"/>
                <w:sz w:val="16"/>
                <w:szCs w:val="16"/>
                <w:lang w:val="en-GB"/>
              </w:rPr>
              <w:t>[</w:t>
            </w:r>
            <w:r w:rsidRPr="00D670E4">
              <w:rPr>
                <w:rFonts w:ascii="Verdana" w:hAnsi="Verdana"/>
                <w:i/>
                <w:color w:val="FFFFFF"/>
                <w:sz w:val="16"/>
                <w:szCs w:val="16"/>
                <w:lang w:val="en-GB"/>
              </w:rPr>
              <w:t>Minimum recommended level: B2</w:t>
            </w:r>
            <w:r w:rsidRPr="00D670E4">
              <w:rPr>
                <w:rFonts w:ascii="Verdana" w:hAnsi="Verdana"/>
                <w:sz w:val="16"/>
                <w:szCs w:val="16"/>
                <w:lang w:val="en-GB"/>
              </w:rPr>
              <w:t>]</w:t>
            </w:r>
          </w:p>
        </w:tc>
      </w:tr>
      <w:tr w:rsidR="00C2394C" w:rsidRPr="00AC3532" w:rsidTr="002B2371">
        <w:tc>
          <w:tcPr>
            <w:tcW w:w="1668" w:type="dxa"/>
            <w:tcBorders>
              <w:bottom w:val="single" w:sz="6" w:space="0" w:color="000080"/>
            </w:tcBorders>
            <w:shd w:val="clear" w:color="auto" w:fill="auto"/>
            <w:vAlign w:val="center"/>
          </w:tcPr>
          <w:p w:rsidR="00C2394C" w:rsidRPr="00AC3532" w:rsidRDefault="00C2394C" w:rsidP="002B2371">
            <w:pPr>
              <w:spacing w:after="0" w:line="240" w:lineRule="auto"/>
              <w:rPr>
                <w:rFonts w:ascii="Verdana" w:hAnsi="Verdana"/>
                <w:sz w:val="18"/>
                <w:lang w:val="en-GB"/>
              </w:rPr>
            </w:pPr>
            <w:r w:rsidRPr="00AC3532">
              <w:rPr>
                <w:rFonts w:ascii="Verdana" w:hAnsi="Verdana"/>
                <w:sz w:val="18"/>
                <w:lang w:val="en-GB"/>
              </w:rPr>
              <w:t>HU BUDAPES01</w:t>
            </w:r>
          </w:p>
        </w:tc>
        <w:tc>
          <w:tcPr>
            <w:tcW w:w="1134" w:type="dxa"/>
            <w:tcBorders>
              <w:bottom w:val="single" w:sz="6" w:space="0" w:color="000080"/>
            </w:tcBorders>
            <w:shd w:val="clear" w:color="auto" w:fill="auto"/>
            <w:vAlign w:val="center"/>
          </w:tcPr>
          <w:p w:rsidR="00C2394C" w:rsidRPr="007C76AC" w:rsidRDefault="00293136" w:rsidP="002B2371">
            <w:pPr>
              <w:spacing w:after="0" w:line="240" w:lineRule="auto"/>
              <w:jc w:val="center"/>
              <w:rPr>
                <w:rFonts w:ascii="Verdana" w:hAnsi="Verdana"/>
                <w:sz w:val="18"/>
                <w:lang w:val="en-GB"/>
              </w:rPr>
            </w:pPr>
            <w:r>
              <w:rPr>
                <w:rFonts w:ascii="Verdana" w:hAnsi="Verdana"/>
                <w:sz w:val="18"/>
                <w:lang w:val="en-GB"/>
              </w:rPr>
              <w:t>all</w:t>
            </w:r>
          </w:p>
        </w:tc>
        <w:tc>
          <w:tcPr>
            <w:tcW w:w="1417" w:type="dxa"/>
            <w:tcBorders>
              <w:bottom w:val="single" w:sz="6" w:space="0" w:color="000080"/>
            </w:tcBorders>
            <w:shd w:val="clear" w:color="auto" w:fill="auto"/>
            <w:vAlign w:val="center"/>
          </w:tcPr>
          <w:p w:rsidR="00C2394C" w:rsidRPr="007C76AC" w:rsidRDefault="00C2394C" w:rsidP="002B2371">
            <w:pPr>
              <w:spacing w:after="0" w:line="240" w:lineRule="auto"/>
              <w:jc w:val="center"/>
              <w:rPr>
                <w:rFonts w:ascii="Verdana" w:hAnsi="Verdana"/>
                <w:sz w:val="18"/>
                <w:lang w:val="en-GB"/>
              </w:rPr>
            </w:pPr>
            <w:r w:rsidRPr="007C76AC">
              <w:rPr>
                <w:rFonts w:ascii="Verdana" w:hAnsi="Verdana"/>
                <w:sz w:val="18"/>
                <w:lang w:val="en-GB"/>
              </w:rPr>
              <w:t>HU</w:t>
            </w:r>
          </w:p>
        </w:tc>
        <w:tc>
          <w:tcPr>
            <w:tcW w:w="1418" w:type="dxa"/>
            <w:tcBorders>
              <w:bottom w:val="single" w:sz="6" w:space="0" w:color="000080"/>
            </w:tcBorders>
            <w:shd w:val="clear" w:color="auto" w:fill="auto"/>
            <w:vAlign w:val="center"/>
          </w:tcPr>
          <w:p w:rsidR="00C2394C" w:rsidRPr="007C76AC" w:rsidRDefault="00C2394C" w:rsidP="002B2371">
            <w:pPr>
              <w:spacing w:after="0" w:line="240" w:lineRule="auto"/>
              <w:jc w:val="center"/>
              <w:rPr>
                <w:rFonts w:ascii="Verdana" w:hAnsi="Verdana"/>
                <w:sz w:val="18"/>
                <w:lang w:val="en-GB"/>
              </w:rPr>
            </w:pPr>
            <w:r w:rsidRPr="007C76AC">
              <w:rPr>
                <w:rFonts w:ascii="Verdana" w:hAnsi="Verdana"/>
                <w:sz w:val="18"/>
                <w:lang w:val="en-GB"/>
              </w:rPr>
              <w:t>EN</w:t>
            </w:r>
          </w:p>
        </w:tc>
        <w:tc>
          <w:tcPr>
            <w:tcW w:w="2126" w:type="dxa"/>
            <w:tcBorders>
              <w:bottom w:val="single" w:sz="6" w:space="0" w:color="000080"/>
            </w:tcBorders>
            <w:shd w:val="clear" w:color="auto" w:fill="auto"/>
            <w:vAlign w:val="center"/>
          </w:tcPr>
          <w:p w:rsidR="00C2394C" w:rsidRPr="007C76AC" w:rsidRDefault="00C2394C" w:rsidP="002B2371">
            <w:pPr>
              <w:spacing w:after="0" w:line="240" w:lineRule="auto"/>
              <w:jc w:val="center"/>
              <w:rPr>
                <w:rFonts w:ascii="Verdana" w:hAnsi="Verdana"/>
                <w:sz w:val="18"/>
                <w:lang w:val="en-GB"/>
              </w:rPr>
            </w:pPr>
            <w:r w:rsidRPr="007C76AC">
              <w:rPr>
                <w:rFonts w:ascii="Verdana" w:hAnsi="Verdana"/>
                <w:sz w:val="18"/>
                <w:lang w:val="en-GB"/>
              </w:rPr>
              <w:t>B2</w:t>
            </w:r>
          </w:p>
        </w:tc>
        <w:tc>
          <w:tcPr>
            <w:tcW w:w="2268" w:type="dxa"/>
            <w:tcBorders>
              <w:bottom w:val="single" w:sz="6" w:space="0" w:color="000080"/>
            </w:tcBorders>
            <w:shd w:val="clear" w:color="auto" w:fill="auto"/>
            <w:vAlign w:val="center"/>
          </w:tcPr>
          <w:p w:rsidR="00C2394C" w:rsidRPr="007C76AC" w:rsidRDefault="00C2394C" w:rsidP="002B2371">
            <w:pPr>
              <w:spacing w:after="0" w:line="240" w:lineRule="auto"/>
              <w:jc w:val="center"/>
              <w:rPr>
                <w:rFonts w:ascii="Verdana" w:hAnsi="Verdana"/>
                <w:sz w:val="18"/>
                <w:lang w:val="en-GB"/>
              </w:rPr>
            </w:pPr>
            <w:r w:rsidRPr="007C76AC">
              <w:rPr>
                <w:rFonts w:ascii="Verdana" w:hAnsi="Verdana"/>
                <w:sz w:val="18"/>
                <w:lang w:val="en-GB"/>
              </w:rPr>
              <w:t>B2</w:t>
            </w:r>
          </w:p>
        </w:tc>
      </w:tr>
    </w:tbl>
    <w:p w:rsidR="00C2394C" w:rsidRDefault="00C2394C"/>
    <w:p w:rsidR="00C2394C" w:rsidRPr="00D670E4" w:rsidRDefault="00C2394C" w:rsidP="00C2394C">
      <w:pPr>
        <w:keepNext/>
        <w:keepLines/>
        <w:tabs>
          <w:tab w:val="left" w:pos="426"/>
        </w:tabs>
        <w:spacing w:after="0" w:line="240" w:lineRule="auto"/>
        <w:rPr>
          <w:rFonts w:ascii="Verdana" w:hAnsi="Verdana"/>
          <w:b/>
          <w:color w:val="002060"/>
          <w:sz w:val="20"/>
          <w:lang w:val="en-GB"/>
        </w:rPr>
      </w:pPr>
      <w:r w:rsidRPr="00D670E4">
        <w:rPr>
          <w:rFonts w:ascii="Verdana" w:hAnsi="Verdana"/>
          <w:b/>
          <w:color w:val="002060"/>
          <w:sz w:val="20"/>
          <w:lang w:val="en-GB"/>
        </w:rPr>
        <w:t>D.</w:t>
      </w:r>
      <w:r w:rsidRPr="00D670E4">
        <w:rPr>
          <w:rFonts w:ascii="Verdana" w:hAnsi="Verdana"/>
          <w:b/>
          <w:color w:val="002060"/>
          <w:sz w:val="20"/>
          <w:lang w:val="en-GB"/>
        </w:rPr>
        <w:tab/>
        <w:t>Additional requirements</w:t>
      </w:r>
    </w:p>
    <w:p w:rsidR="00C2394C" w:rsidRPr="00F92867" w:rsidRDefault="00C2394C" w:rsidP="00C2394C">
      <w:pPr>
        <w:spacing w:after="0" w:line="240" w:lineRule="auto"/>
        <w:jc w:val="both"/>
        <w:rPr>
          <w:rFonts w:ascii="Arial" w:hAnsi="Arial" w:cs="Arial"/>
          <w:b/>
          <w:sz w:val="12"/>
          <w:u w:val="single"/>
        </w:rPr>
      </w:pPr>
    </w:p>
    <w:p w:rsidR="00C2394C" w:rsidRPr="00F92867" w:rsidRDefault="00C2394C" w:rsidP="00C2394C">
      <w:pPr>
        <w:spacing w:after="0" w:line="240" w:lineRule="auto"/>
        <w:jc w:val="both"/>
        <w:rPr>
          <w:rFonts w:ascii="Arial" w:hAnsi="Arial" w:cs="Arial"/>
          <w:b/>
          <w:sz w:val="16"/>
          <w:szCs w:val="16"/>
          <w:u w:val="single"/>
        </w:rPr>
      </w:pPr>
      <w:r w:rsidRPr="00F92867">
        <w:rPr>
          <w:rFonts w:ascii="Arial" w:hAnsi="Arial" w:cs="Arial"/>
          <w:b/>
          <w:sz w:val="16"/>
          <w:szCs w:val="16"/>
          <w:u w:val="single"/>
        </w:rPr>
        <w:t>HU BUDAPES01:</w:t>
      </w:r>
    </w:p>
    <w:p w:rsidR="00C2394C" w:rsidRPr="00F92867" w:rsidRDefault="00C2394C" w:rsidP="00C2394C">
      <w:pPr>
        <w:pStyle w:val="Listaszerbekezds"/>
        <w:numPr>
          <w:ilvl w:val="0"/>
          <w:numId w:val="1"/>
        </w:numPr>
        <w:spacing w:after="0" w:line="240" w:lineRule="auto"/>
        <w:ind w:left="714" w:hanging="357"/>
        <w:contextualSpacing w:val="0"/>
        <w:jc w:val="both"/>
        <w:rPr>
          <w:rFonts w:ascii="Verdana" w:hAnsi="Verdana"/>
          <w:sz w:val="16"/>
          <w:szCs w:val="16"/>
          <w:lang w:val="en-GB" w:eastAsia="de-DE"/>
        </w:rPr>
      </w:pPr>
      <w:r w:rsidRPr="00F92867">
        <w:rPr>
          <w:rFonts w:ascii="Verdana" w:hAnsi="Verdana"/>
          <w:sz w:val="16"/>
          <w:szCs w:val="16"/>
          <w:lang w:val="en-GB" w:eastAsia="de-DE"/>
        </w:rPr>
        <w:t>Incoming students receive minimum 20 credits in their subject area. Students are also allowed to take courses in other study fields to a maximum of 10 credits. (A maximum of 30 credits can be received for the courses taken.)</w:t>
      </w:r>
    </w:p>
    <w:p w:rsidR="00C2394C" w:rsidRPr="00F92867" w:rsidRDefault="00C2394C" w:rsidP="00C2394C">
      <w:pPr>
        <w:pStyle w:val="Listaszerbekezds"/>
        <w:numPr>
          <w:ilvl w:val="0"/>
          <w:numId w:val="1"/>
        </w:numPr>
        <w:spacing w:after="0" w:line="240" w:lineRule="auto"/>
        <w:ind w:left="714" w:hanging="357"/>
        <w:contextualSpacing w:val="0"/>
        <w:jc w:val="both"/>
        <w:rPr>
          <w:rFonts w:ascii="Verdana" w:hAnsi="Verdana"/>
          <w:sz w:val="16"/>
          <w:szCs w:val="16"/>
          <w:lang w:val="en-GB" w:eastAsia="de-DE"/>
        </w:rPr>
      </w:pPr>
      <w:r w:rsidRPr="00F92867">
        <w:rPr>
          <w:rFonts w:ascii="Verdana" w:hAnsi="Verdana"/>
          <w:sz w:val="16"/>
          <w:szCs w:val="16"/>
          <w:lang w:val="en-GB" w:eastAsia="de-DE"/>
        </w:rPr>
        <w:t>Selection process: the partner university is kindly requested to ensure that the language proficiency of the outgoing student(s) is a minimum B2.</w:t>
      </w:r>
    </w:p>
    <w:p w:rsidR="00C2394C" w:rsidRPr="00F92867" w:rsidRDefault="00C2394C" w:rsidP="00C2394C">
      <w:pPr>
        <w:pStyle w:val="Listaszerbekezds"/>
        <w:numPr>
          <w:ilvl w:val="0"/>
          <w:numId w:val="1"/>
        </w:numPr>
        <w:spacing w:after="0" w:line="240" w:lineRule="auto"/>
        <w:ind w:left="714" w:hanging="357"/>
        <w:contextualSpacing w:val="0"/>
        <w:jc w:val="both"/>
        <w:rPr>
          <w:rFonts w:ascii="Verdana" w:hAnsi="Verdana"/>
          <w:sz w:val="16"/>
          <w:szCs w:val="16"/>
          <w:lang w:val="en-GB" w:eastAsia="de-DE"/>
        </w:rPr>
      </w:pPr>
      <w:r w:rsidRPr="00F92867">
        <w:rPr>
          <w:rFonts w:ascii="Verdana" w:hAnsi="Verdana"/>
          <w:sz w:val="16"/>
          <w:szCs w:val="16"/>
          <w:lang w:val="en-GB" w:eastAsia="de-DE"/>
        </w:rPr>
        <w:t xml:space="preserve">ELTE welcomes students and staff with disabilities and provides information and assistance. Learn more at  </w:t>
      </w:r>
      <w:hyperlink r:id="rId8" w:history="1">
        <w:r w:rsidRPr="00F92867">
          <w:rPr>
            <w:rFonts w:ascii="Verdana" w:hAnsi="Verdana"/>
            <w:sz w:val="16"/>
            <w:szCs w:val="16"/>
            <w:lang w:val="en-GB" w:eastAsia="de-DE"/>
          </w:rPr>
          <w:t>http://www.elte.hu/en/disabilities</w:t>
        </w:r>
      </w:hyperlink>
    </w:p>
    <w:p w:rsidR="00C2394C" w:rsidRPr="00F92867" w:rsidRDefault="00C2394C" w:rsidP="00C2394C">
      <w:pPr>
        <w:pStyle w:val="Listaszerbekezds"/>
        <w:numPr>
          <w:ilvl w:val="0"/>
          <w:numId w:val="1"/>
        </w:numPr>
        <w:spacing w:after="0" w:line="240" w:lineRule="auto"/>
        <w:ind w:left="714" w:hanging="357"/>
        <w:contextualSpacing w:val="0"/>
        <w:jc w:val="both"/>
        <w:rPr>
          <w:rFonts w:ascii="Verdana" w:hAnsi="Verdana"/>
          <w:sz w:val="16"/>
          <w:szCs w:val="16"/>
          <w:lang w:val="en-GB" w:eastAsia="de-DE"/>
        </w:rPr>
      </w:pPr>
      <w:r w:rsidRPr="00F92867">
        <w:rPr>
          <w:rFonts w:ascii="Verdana" w:hAnsi="Verdana"/>
          <w:sz w:val="16"/>
          <w:szCs w:val="16"/>
          <w:lang w:val="en-GB" w:eastAsia="de-DE"/>
        </w:rPr>
        <w:t xml:space="preserve">Services for incoming students: </w:t>
      </w:r>
    </w:p>
    <w:p w:rsidR="00C2394C" w:rsidRPr="00F92867" w:rsidRDefault="00C2394C" w:rsidP="00C2394C">
      <w:pPr>
        <w:pStyle w:val="Listaszerbekezds"/>
        <w:numPr>
          <w:ilvl w:val="1"/>
          <w:numId w:val="1"/>
        </w:numPr>
        <w:spacing w:after="0" w:line="240" w:lineRule="auto"/>
        <w:contextualSpacing w:val="0"/>
        <w:jc w:val="both"/>
        <w:rPr>
          <w:rFonts w:ascii="Verdana" w:hAnsi="Verdana"/>
          <w:sz w:val="16"/>
          <w:szCs w:val="16"/>
          <w:lang w:val="en-GB" w:eastAsia="de-DE"/>
        </w:rPr>
      </w:pPr>
      <w:r w:rsidRPr="00F92867">
        <w:rPr>
          <w:rFonts w:ascii="Verdana" w:hAnsi="Verdana"/>
          <w:sz w:val="16"/>
          <w:szCs w:val="16"/>
          <w:lang w:val="en-GB" w:eastAsia="de-DE"/>
        </w:rPr>
        <w:t xml:space="preserve">Orientation Day is organized for international students each semester where students get information about the university in general, administrative issues, student activities, the Hungarian language course, and other services. The integration of incoming students is fostered also in the areas of education and social life. </w:t>
      </w:r>
    </w:p>
    <w:p w:rsidR="00C2394C" w:rsidRPr="00F92867" w:rsidRDefault="00C2394C" w:rsidP="00C2394C">
      <w:pPr>
        <w:pStyle w:val="Listaszerbekezds"/>
        <w:numPr>
          <w:ilvl w:val="1"/>
          <w:numId w:val="1"/>
        </w:numPr>
        <w:spacing w:after="0" w:line="240" w:lineRule="auto"/>
        <w:contextualSpacing w:val="0"/>
        <w:jc w:val="both"/>
        <w:rPr>
          <w:rFonts w:ascii="Verdana" w:hAnsi="Verdana"/>
          <w:sz w:val="16"/>
          <w:szCs w:val="16"/>
          <w:lang w:val="en-GB" w:eastAsia="de-DE"/>
        </w:rPr>
      </w:pPr>
      <w:r w:rsidRPr="00F92867">
        <w:rPr>
          <w:rFonts w:ascii="Verdana" w:hAnsi="Verdana"/>
          <w:sz w:val="16"/>
          <w:szCs w:val="16"/>
          <w:lang w:val="en-GB" w:eastAsia="de-DE"/>
        </w:rPr>
        <w:t>The ESN mentor system ensures the acculturation of foreign students by organizing a series of cultural and leisure activities.</w:t>
      </w:r>
    </w:p>
    <w:p w:rsidR="00424BC5" w:rsidRDefault="00C2394C" w:rsidP="00424BC5">
      <w:pPr>
        <w:pStyle w:val="Listaszerbekezds"/>
        <w:numPr>
          <w:ilvl w:val="1"/>
          <w:numId w:val="1"/>
        </w:numPr>
        <w:spacing w:after="0" w:line="240" w:lineRule="auto"/>
        <w:contextualSpacing w:val="0"/>
        <w:jc w:val="both"/>
        <w:rPr>
          <w:rFonts w:ascii="Verdana" w:hAnsi="Verdana"/>
          <w:sz w:val="16"/>
          <w:szCs w:val="16"/>
          <w:lang w:val="en-GB" w:eastAsia="de-DE"/>
        </w:rPr>
      </w:pPr>
      <w:r w:rsidRPr="00F92867">
        <w:rPr>
          <w:rFonts w:ascii="Verdana" w:hAnsi="Verdana"/>
          <w:sz w:val="16"/>
          <w:szCs w:val="16"/>
          <w:lang w:val="en-GB" w:eastAsia="de-DE"/>
        </w:rPr>
        <w:t>Hungarian language (and culture) courses are offered for incoming students in the frame of Summer University programmes as well as regular courses during the semesters (</w:t>
      </w:r>
      <w:hyperlink r:id="rId9" w:history="1">
        <w:r w:rsidRPr="00F92867">
          <w:rPr>
            <w:rFonts w:ascii="Verdana" w:hAnsi="Verdana"/>
            <w:sz w:val="16"/>
            <w:szCs w:val="16"/>
            <w:lang w:val="en-GB" w:eastAsia="de-DE"/>
          </w:rPr>
          <w:t>http://www.elte.hu/en/language_courses</w:t>
        </w:r>
      </w:hyperlink>
      <w:r w:rsidRPr="00F92867">
        <w:rPr>
          <w:rFonts w:ascii="Verdana" w:hAnsi="Verdana"/>
          <w:sz w:val="16"/>
          <w:szCs w:val="16"/>
          <w:lang w:val="en-GB" w:eastAsia="de-DE"/>
        </w:rPr>
        <w:t>)</w:t>
      </w:r>
    </w:p>
    <w:p w:rsidR="00424BC5" w:rsidRPr="00424BC5" w:rsidRDefault="00424BC5" w:rsidP="00424BC5">
      <w:pPr>
        <w:pStyle w:val="Listaszerbekezds"/>
        <w:numPr>
          <w:ilvl w:val="0"/>
          <w:numId w:val="1"/>
        </w:numPr>
        <w:spacing w:after="0" w:line="240" w:lineRule="auto"/>
        <w:contextualSpacing w:val="0"/>
        <w:jc w:val="both"/>
        <w:rPr>
          <w:rFonts w:ascii="Verdana" w:hAnsi="Verdana"/>
          <w:sz w:val="16"/>
          <w:szCs w:val="16"/>
          <w:lang w:val="en-GB" w:eastAsia="de-DE"/>
        </w:rPr>
      </w:pPr>
      <w:r w:rsidRPr="00424BC5">
        <w:rPr>
          <w:rFonts w:ascii="Verdana" w:hAnsi="Verdana"/>
          <w:sz w:val="16"/>
          <w:szCs w:val="16"/>
          <w:lang w:val="en-GB" w:eastAsia="de-DE"/>
        </w:rPr>
        <w:t>SMP (IN)</w:t>
      </w:r>
      <w:r>
        <w:rPr>
          <w:rFonts w:ascii="Verdana" w:hAnsi="Verdana"/>
          <w:sz w:val="16"/>
          <w:szCs w:val="16"/>
          <w:lang w:val="en-GB" w:eastAsia="de-DE"/>
        </w:rPr>
        <w:t xml:space="preserve">: </w:t>
      </w:r>
      <w:r w:rsidRPr="00424BC5">
        <w:rPr>
          <w:rFonts w:ascii="Verdana" w:hAnsi="Verdana"/>
          <w:sz w:val="16"/>
          <w:szCs w:val="16"/>
          <w:lang w:val="en-GB" w:eastAsia="de-DE"/>
        </w:rPr>
        <w:t>Traineeship is available at ELTE for interested students. In order to receive information about available internship/apprenticeships please contact the relevant Faculty/Department/Unit of ELTE.</w:t>
      </w:r>
    </w:p>
    <w:p w:rsidR="00424BC5" w:rsidRDefault="00424BC5" w:rsidP="00424BC5">
      <w:pPr>
        <w:pStyle w:val="Listaszerbekezds"/>
        <w:numPr>
          <w:ilvl w:val="0"/>
          <w:numId w:val="1"/>
        </w:numPr>
        <w:spacing w:after="0" w:line="240" w:lineRule="auto"/>
        <w:contextualSpacing w:val="0"/>
        <w:jc w:val="both"/>
        <w:rPr>
          <w:rFonts w:ascii="Verdana" w:hAnsi="Verdana"/>
          <w:sz w:val="16"/>
          <w:szCs w:val="16"/>
          <w:lang w:val="en-GB" w:eastAsia="de-DE"/>
        </w:rPr>
      </w:pPr>
      <w:r w:rsidRPr="00424BC5">
        <w:rPr>
          <w:rFonts w:ascii="Verdana" w:hAnsi="Verdana"/>
          <w:sz w:val="16"/>
          <w:szCs w:val="16"/>
          <w:lang w:val="en-GB" w:eastAsia="de-DE"/>
        </w:rPr>
        <w:t>STA, STT (IN)</w:t>
      </w:r>
      <w:r>
        <w:rPr>
          <w:rFonts w:ascii="Verdana" w:hAnsi="Verdana"/>
          <w:sz w:val="16"/>
          <w:szCs w:val="16"/>
          <w:lang w:val="en-GB" w:eastAsia="de-DE"/>
        </w:rPr>
        <w:t xml:space="preserve">: </w:t>
      </w:r>
      <w:r w:rsidRPr="00424BC5">
        <w:rPr>
          <w:rFonts w:ascii="Verdana" w:hAnsi="Verdana"/>
          <w:sz w:val="16"/>
          <w:szCs w:val="16"/>
          <w:lang w:val="en-GB" w:eastAsia="de-DE"/>
        </w:rPr>
        <w:t>In order to realize STA/STT-motilities, a letter of invitation – issued by an ELTE contact person – is required.</w:t>
      </w:r>
    </w:p>
    <w:p w:rsidR="00424BC5" w:rsidRDefault="00424BC5" w:rsidP="00424BC5">
      <w:pPr>
        <w:pStyle w:val="Listaszerbekezds"/>
        <w:numPr>
          <w:ilvl w:val="0"/>
          <w:numId w:val="1"/>
        </w:numPr>
        <w:spacing w:after="0" w:line="240" w:lineRule="auto"/>
        <w:contextualSpacing w:val="0"/>
        <w:jc w:val="both"/>
        <w:rPr>
          <w:rFonts w:ascii="Verdana" w:hAnsi="Verdana"/>
          <w:sz w:val="16"/>
          <w:szCs w:val="16"/>
          <w:lang w:val="en-GB" w:eastAsia="de-DE"/>
        </w:rPr>
      </w:pPr>
      <w:r w:rsidRPr="00424BC5">
        <w:rPr>
          <w:rFonts w:ascii="Verdana" w:hAnsi="Verdana"/>
          <w:sz w:val="16"/>
          <w:szCs w:val="16"/>
          <w:lang w:val="en-GB" w:eastAsia="de-DE"/>
        </w:rPr>
        <w:t>ELTE welcomes students and staff with disabilities and provides information and assistance. For more information please visit:www.elte.hu/en/ &gt; University life &gt; Equal opportunities</w:t>
      </w:r>
    </w:p>
    <w:p w:rsidR="00C2394C" w:rsidRDefault="00424BC5" w:rsidP="00424BC5">
      <w:pPr>
        <w:pStyle w:val="Listaszerbekezds"/>
        <w:numPr>
          <w:ilvl w:val="0"/>
          <w:numId w:val="1"/>
        </w:numPr>
        <w:spacing w:after="0" w:line="240" w:lineRule="auto"/>
        <w:contextualSpacing w:val="0"/>
        <w:jc w:val="both"/>
        <w:rPr>
          <w:rFonts w:ascii="Verdana" w:hAnsi="Verdana"/>
          <w:sz w:val="16"/>
          <w:szCs w:val="16"/>
          <w:lang w:val="en-GB" w:eastAsia="de-DE"/>
        </w:rPr>
      </w:pPr>
      <w:r w:rsidRPr="00424BC5">
        <w:rPr>
          <w:rFonts w:ascii="Verdana" w:hAnsi="Verdana"/>
          <w:sz w:val="16"/>
          <w:szCs w:val="16"/>
          <w:lang w:val="en-GB" w:eastAsia="de-DE"/>
        </w:rPr>
        <w:t xml:space="preserve">Faculties </w:t>
      </w:r>
      <w:proofErr w:type="gramStart"/>
      <w:r w:rsidRPr="00424BC5">
        <w:rPr>
          <w:rFonts w:ascii="Verdana" w:hAnsi="Verdana"/>
          <w:sz w:val="16"/>
          <w:szCs w:val="16"/>
          <w:lang w:val="en-GB" w:eastAsia="de-DE"/>
        </w:rPr>
        <w:t>are authorized</w:t>
      </w:r>
      <w:proofErr w:type="gramEnd"/>
      <w:r w:rsidRPr="00424BC5">
        <w:rPr>
          <w:rFonts w:ascii="Verdana" w:hAnsi="Verdana"/>
          <w:sz w:val="16"/>
          <w:szCs w:val="16"/>
          <w:lang w:val="en-GB" w:eastAsia="de-DE"/>
        </w:rPr>
        <w:t xml:space="preserve"> to extend these requirements. For more </w:t>
      </w:r>
      <w:proofErr w:type="gramStart"/>
      <w:r w:rsidRPr="00424BC5">
        <w:rPr>
          <w:rFonts w:ascii="Verdana" w:hAnsi="Verdana"/>
          <w:sz w:val="16"/>
          <w:szCs w:val="16"/>
          <w:lang w:val="en-GB" w:eastAsia="de-DE"/>
        </w:rPr>
        <w:t>information</w:t>
      </w:r>
      <w:proofErr w:type="gramEnd"/>
      <w:r w:rsidRPr="00424BC5">
        <w:rPr>
          <w:rFonts w:ascii="Verdana" w:hAnsi="Verdana"/>
          <w:sz w:val="16"/>
          <w:szCs w:val="16"/>
          <w:lang w:val="en-GB" w:eastAsia="de-DE"/>
        </w:rPr>
        <w:t xml:space="preserve"> please check Faculty website.</w:t>
      </w:r>
    </w:p>
    <w:p w:rsidR="00424BC5" w:rsidRDefault="00424BC5" w:rsidP="00424BC5">
      <w:pPr>
        <w:spacing w:after="0" w:line="240" w:lineRule="auto"/>
        <w:jc w:val="both"/>
        <w:rPr>
          <w:rFonts w:ascii="Verdana" w:hAnsi="Verdana"/>
          <w:sz w:val="16"/>
          <w:szCs w:val="16"/>
          <w:lang w:val="en-GB" w:eastAsia="de-DE"/>
        </w:rPr>
      </w:pPr>
    </w:p>
    <w:p w:rsidR="00424BC5" w:rsidRDefault="00424BC5" w:rsidP="00424BC5">
      <w:pPr>
        <w:spacing w:after="0" w:line="240" w:lineRule="auto"/>
        <w:jc w:val="both"/>
        <w:rPr>
          <w:rFonts w:ascii="Verdana" w:hAnsi="Verdana"/>
          <w:sz w:val="16"/>
          <w:szCs w:val="16"/>
          <w:lang w:val="en-GB" w:eastAsia="de-DE"/>
        </w:rPr>
      </w:pPr>
    </w:p>
    <w:p w:rsidR="00424BC5" w:rsidRPr="00424BC5" w:rsidRDefault="00424BC5" w:rsidP="00424BC5">
      <w:pPr>
        <w:spacing w:after="0" w:line="240" w:lineRule="auto"/>
        <w:jc w:val="both"/>
        <w:rPr>
          <w:rFonts w:ascii="Verdana" w:hAnsi="Verdana"/>
          <w:sz w:val="16"/>
          <w:szCs w:val="16"/>
          <w:lang w:val="en-GB" w:eastAsia="de-DE"/>
        </w:rPr>
      </w:pPr>
    </w:p>
    <w:p w:rsidR="00C2394C" w:rsidRPr="00F92867" w:rsidRDefault="00C2394C" w:rsidP="00C2394C">
      <w:pPr>
        <w:keepNext/>
        <w:keepLines/>
        <w:tabs>
          <w:tab w:val="left" w:pos="426"/>
        </w:tabs>
        <w:spacing w:after="0" w:line="240" w:lineRule="auto"/>
        <w:rPr>
          <w:rFonts w:ascii="Verdana" w:hAnsi="Verdana"/>
          <w:b/>
          <w:color w:val="002060"/>
          <w:sz w:val="20"/>
          <w:lang w:val="en-GB"/>
        </w:rPr>
      </w:pPr>
      <w:r w:rsidRPr="00F92867">
        <w:rPr>
          <w:rFonts w:ascii="Verdana" w:hAnsi="Verdana"/>
          <w:b/>
          <w:color w:val="002060"/>
          <w:sz w:val="20"/>
          <w:lang w:val="en-GB"/>
        </w:rPr>
        <w:t>E.</w:t>
      </w:r>
      <w:r w:rsidRPr="00F92867">
        <w:rPr>
          <w:rFonts w:ascii="Verdana" w:hAnsi="Verdana"/>
          <w:b/>
          <w:color w:val="002060"/>
          <w:sz w:val="20"/>
          <w:lang w:val="en-GB"/>
        </w:rPr>
        <w:tab/>
        <w:t>Calendar</w:t>
      </w:r>
    </w:p>
    <w:p w:rsidR="00C2394C" w:rsidRPr="00D670E4" w:rsidRDefault="00C2394C" w:rsidP="00C2394C">
      <w:pPr>
        <w:keepNext/>
        <w:keepLines/>
        <w:tabs>
          <w:tab w:val="left" w:pos="426"/>
        </w:tabs>
        <w:spacing w:after="0" w:line="240" w:lineRule="auto"/>
        <w:rPr>
          <w:rFonts w:ascii="Verdana" w:hAnsi="Verdana"/>
          <w:b/>
          <w:color w:val="002060"/>
          <w:sz w:val="12"/>
          <w:lang w:val="en-GB"/>
        </w:rPr>
      </w:pPr>
    </w:p>
    <w:p w:rsidR="00C2394C" w:rsidRPr="00F92867" w:rsidRDefault="00C2394C" w:rsidP="00C2394C">
      <w:pPr>
        <w:spacing w:after="0" w:line="240" w:lineRule="auto"/>
        <w:ind w:left="709" w:hanging="284"/>
        <w:rPr>
          <w:rFonts w:ascii="Verdana" w:hAnsi="Verdana"/>
          <w:sz w:val="16"/>
          <w:szCs w:val="18"/>
          <w:lang w:val="en-GB"/>
        </w:rPr>
      </w:pPr>
      <w:bookmarkStart w:id="0" w:name="P0_0"/>
      <w:bookmarkEnd w:id="0"/>
      <w:r w:rsidRPr="00F92867">
        <w:rPr>
          <w:rFonts w:ascii="Verdana" w:hAnsi="Verdana"/>
          <w:sz w:val="16"/>
          <w:szCs w:val="18"/>
          <w:lang w:val="en-GB"/>
        </w:rPr>
        <w:t>1.</w:t>
      </w:r>
      <w:r w:rsidRPr="00F92867">
        <w:rPr>
          <w:rFonts w:ascii="Verdana" w:hAnsi="Verdana"/>
          <w:sz w:val="16"/>
          <w:szCs w:val="18"/>
          <w:lang w:val="en-GB"/>
        </w:rPr>
        <w:tab/>
        <w:t>Applications/information on nominated students must reach the receiving institution by:</w:t>
      </w:r>
    </w:p>
    <w:tbl>
      <w:tblPr>
        <w:tblW w:w="9516"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3660"/>
      </w:tblGrid>
      <w:tr w:rsidR="00C2394C" w:rsidRPr="00F92867" w:rsidTr="002B2371">
        <w:tc>
          <w:tcPr>
            <w:tcW w:w="2962" w:type="dxa"/>
            <w:shd w:val="clear" w:color="auto" w:fill="003399"/>
          </w:tcPr>
          <w:p w:rsidR="00C2394C" w:rsidRPr="00F92867" w:rsidRDefault="00C2394C" w:rsidP="002B2371">
            <w:pPr>
              <w:spacing w:after="0"/>
              <w:jc w:val="center"/>
              <w:rPr>
                <w:rFonts w:ascii="Verdana" w:hAnsi="Verdana"/>
                <w:b/>
                <w:bCs/>
                <w:color w:val="FFFFFF"/>
                <w:sz w:val="18"/>
                <w:szCs w:val="18"/>
                <w:lang w:val="en-GB"/>
              </w:rPr>
            </w:pPr>
            <w:r w:rsidRPr="00F92867">
              <w:rPr>
                <w:rFonts w:ascii="Verdana" w:hAnsi="Verdana"/>
                <w:b/>
                <w:bCs/>
                <w:color w:val="FFFFFF"/>
                <w:sz w:val="18"/>
                <w:szCs w:val="18"/>
                <w:lang w:val="en-GB"/>
              </w:rPr>
              <w:lastRenderedPageBreak/>
              <w:t>Receiving institution</w:t>
            </w:r>
          </w:p>
          <w:p w:rsidR="00C2394C" w:rsidRPr="00F92867" w:rsidRDefault="00C2394C" w:rsidP="002B2371">
            <w:pPr>
              <w:jc w:val="center"/>
              <w:rPr>
                <w:rFonts w:ascii="Verdana" w:hAnsi="Verdana"/>
                <w:b/>
                <w:bCs/>
                <w:color w:val="FFFFFF"/>
                <w:sz w:val="18"/>
                <w:szCs w:val="18"/>
                <w:lang w:val="en-GB"/>
              </w:rPr>
            </w:pPr>
            <w:r w:rsidRPr="00F92867">
              <w:rPr>
                <w:rFonts w:ascii="Verdana" w:hAnsi="Verdana"/>
                <w:b/>
                <w:bCs/>
                <w:color w:val="FFFFFF"/>
                <w:sz w:val="18"/>
                <w:szCs w:val="18"/>
                <w:lang w:val="en-GB"/>
              </w:rPr>
              <w:t>[Erasmus code]</w:t>
            </w:r>
          </w:p>
        </w:tc>
        <w:tc>
          <w:tcPr>
            <w:tcW w:w="2894" w:type="dxa"/>
            <w:shd w:val="clear" w:color="auto" w:fill="003399"/>
          </w:tcPr>
          <w:p w:rsidR="00C2394C" w:rsidRPr="00F92867" w:rsidRDefault="00C2394C" w:rsidP="002B2371">
            <w:pPr>
              <w:spacing w:after="0"/>
              <w:jc w:val="center"/>
              <w:rPr>
                <w:rFonts w:ascii="Verdana" w:hAnsi="Verdana"/>
                <w:b/>
                <w:bCs/>
                <w:color w:val="FFFFFF"/>
                <w:sz w:val="18"/>
                <w:szCs w:val="18"/>
                <w:lang w:val="en-GB"/>
              </w:rPr>
            </w:pPr>
            <w:r w:rsidRPr="00F92867">
              <w:rPr>
                <w:rFonts w:ascii="Verdana" w:hAnsi="Verdana"/>
                <w:b/>
                <w:bCs/>
                <w:color w:val="FFFFFF"/>
                <w:sz w:val="18"/>
                <w:szCs w:val="18"/>
                <w:lang w:val="en-GB"/>
              </w:rPr>
              <w:t>Autumn term*</w:t>
            </w:r>
          </w:p>
          <w:p w:rsidR="00C2394C" w:rsidRPr="00F92867" w:rsidRDefault="00C2394C" w:rsidP="002B2371">
            <w:pPr>
              <w:jc w:val="center"/>
              <w:rPr>
                <w:rFonts w:ascii="Verdana" w:hAnsi="Verdana"/>
                <w:b/>
                <w:bCs/>
                <w:color w:val="FFFFFF"/>
                <w:sz w:val="18"/>
                <w:szCs w:val="18"/>
                <w:lang w:val="en-GB"/>
              </w:rPr>
            </w:pPr>
            <w:r w:rsidRPr="00F92867">
              <w:rPr>
                <w:rFonts w:ascii="Verdana" w:hAnsi="Verdana"/>
                <w:b/>
                <w:bCs/>
                <w:color w:val="FFFFFF"/>
                <w:sz w:val="18"/>
                <w:szCs w:val="18"/>
                <w:lang w:val="en-GB"/>
              </w:rPr>
              <w:t>[month]</w:t>
            </w:r>
          </w:p>
        </w:tc>
        <w:tc>
          <w:tcPr>
            <w:tcW w:w="3660" w:type="dxa"/>
            <w:shd w:val="clear" w:color="auto" w:fill="003399"/>
          </w:tcPr>
          <w:p w:rsidR="00C2394C" w:rsidRPr="00F92867" w:rsidRDefault="00C2394C" w:rsidP="002B2371">
            <w:pPr>
              <w:spacing w:after="0"/>
              <w:jc w:val="center"/>
              <w:rPr>
                <w:rFonts w:ascii="Verdana" w:hAnsi="Verdana"/>
                <w:b/>
                <w:bCs/>
                <w:color w:val="FFFFFF"/>
                <w:sz w:val="18"/>
                <w:szCs w:val="18"/>
                <w:lang w:val="en-GB"/>
              </w:rPr>
            </w:pPr>
            <w:r w:rsidRPr="00F92867">
              <w:rPr>
                <w:rFonts w:ascii="Verdana" w:hAnsi="Verdana"/>
                <w:b/>
                <w:bCs/>
                <w:color w:val="FFFFFF"/>
                <w:sz w:val="18"/>
                <w:szCs w:val="18"/>
                <w:lang w:val="en-GB"/>
              </w:rPr>
              <w:t>Spring term*</w:t>
            </w:r>
          </w:p>
          <w:p w:rsidR="00C2394C" w:rsidRPr="00F92867" w:rsidRDefault="00C2394C" w:rsidP="002B2371">
            <w:pPr>
              <w:jc w:val="center"/>
              <w:rPr>
                <w:rFonts w:ascii="Verdana" w:hAnsi="Verdana"/>
                <w:b/>
                <w:bCs/>
                <w:color w:val="FFFFFF"/>
                <w:sz w:val="18"/>
                <w:szCs w:val="18"/>
                <w:lang w:val="en-GB"/>
              </w:rPr>
            </w:pPr>
            <w:r w:rsidRPr="00F92867">
              <w:rPr>
                <w:rFonts w:ascii="Verdana" w:hAnsi="Verdana"/>
                <w:b/>
                <w:bCs/>
                <w:color w:val="FFFFFF"/>
                <w:sz w:val="18"/>
                <w:szCs w:val="18"/>
                <w:lang w:val="en-GB"/>
              </w:rPr>
              <w:t>[month]</w:t>
            </w:r>
          </w:p>
        </w:tc>
      </w:tr>
      <w:tr w:rsidR="00C2394C" w:rsidRPr="00C2394C" w:rsidTr="002B2371">
        <w:tc>
          <w:tcPr>
            <w:tcW w:w="2962" w:type="dxa"/>
            <w:tcBorders>
              <w:bottom w:val="single" w:sz="6" w:space="0" w:color="000080"/>
            </w:tcBorders>
            <w:shd w:val="clear" w:color="auto" w:fill="auto"/>
            <w:vAlign w:val="center"/>
          </w:tcPr>
          <w:p w:rsidR="00C2394C" w:rsidRPr="00C2394C" w:rsidRDefault="00C2394C" w:rsidP="002B2371">
            <w:pPr>
              <w:spacing w:after="0" w:line="240" w:lineRule="auto"/>
              <w:rPr>
                <w:rFonts w:ascii="Verdana" w:hAnsi="Verdana"/>
                <w:sz w:val="18"/>
                <w:szCs w:val="18"/>
                <w:lang w:val="en-GB"/>
              </w:rPr>
            </w:pPr>
            <w:r w:rsidRPr="00C2394C">
              <w:rPr>
                <w:rFonts w:ascii="Verdana" w:hAnsi="Verdana"/>
                <w:sz w:val="18"/>
                <w:szCs w:val="18"/>
                <w:lang w:val="en-GB"/>
              </w:rPr>
              <w:t>HU BUDAPES01</w:t>
            </w:r>
          </w:p>
        </w:tc>
        <w:tc>
          <w:tcPr>
            <w:tcW w:w="2894" w:type="dxa"/>
            <w:tcBorders>
              <w:bottom w:val="single" w:sz="6" w:space="0" w:color="000080"/>
            </w:tcBorders>
            <w:shd w:val="clear" w:color="auto" w:fill="auto"/>
            <w:vAlign w:val="center"/>
          </w:tcPr>
          <w:p w:rsidR="00C2394C" w:rsidRPr="00C2394C" w:rsidRDefault="00C2394C" w:rsidP="002B2371">
            <w:pPr>
              <w:spacing w:after="0" w:line="240" w:lineRule="auto"/>
              <w:rPr>
                <w:rFonts w:ascii="Verdana" w:hAnsi="Verdana"/>
                <w:sz w:val="18"/>
                <w:szCs w:val="18"/>
                <w:lang w:val="en-GB"/>
              </w:rPr>
            </w:pPr>
            <w:r w:rsidRPr="00C2394C">
              <w:rPr>
                <w:rFonts w:ascii="Verdana" w:hAnsi="Verdana"/>
                <w:sz w:val="18"/>
                <w:szCs w:val="18"/>
                <w:lang w:val="en-GB"/>
              </w:rPr>
              <w:t>Nomination deadline: 10 May;</w:t>
            </w:r>
          </w:p>
          <w:p w:rsidR="00C2394C" w:rsidRPr="00C2394C" w:rsidRDefault="00C2394C" w:rsidP="002B2371">
            <w:pPr>
              <w:spacing w:after="0" w:line="240" w:lineRule="auto"/>
              <w:rPr>
                <w:rFonts w:ascii="Verdana" w:hAnsi="Verdana"/>
                <w:sz w:val="18"/>
                <w:szCs w:val="18"/>
                <w:lang w:val="en-GB"/>
              </w:rPr>
            </w:pPr>
            <w:r w:rsidRPr="00C2394C">
              <w:rPr>
                <w:rFonts w:ascii="Verdana" w:hAnsi="Verdana"/>
                <w:sz w:val="18"/>
                <w:szCs w:val="18"/>
                <w:lang w:val="en-GB"/>
              </w:rPr>
              <w:t>Application deadline for incoming students: 30 May</w:t>
            </w:r>
          </w:p>
        </w:tc>
        <w:tc>
          <w:tcPr>
            <w:tcW w:w="3660" w:type="dxa"/>
            <w:tcBorders>
              <w:bottom w:val="single" w:sz="6" w:space="0" w:color="000080"/>
            </w:tcBorders>
            <w:shd w:val="clear" w:color="auto" w:fill="auto"/>
            <w:vAlign w:val="center"/>
          </w:tcPr>
          <w:p w:rsidR="00C2394C" w:rsidRPr="00C2394C" w:rsidRDefault="00C2394C" w:rsidP="002B2371">
            <w:pPr>
              <w:spacing w:after="0" w:line="240" w:lineRule="auto"/>
              <w:rPr>
                <w:rFonts w:ascii="Verdana" w:hAnsi="Verdana"/>
                <w:sz w:val="18"/>
                <w:szCs w:val="18"/>
                <w:lang w:val="en-GB"/>
              </w:rPr>
            </w:pPr>
            <w:r w:rsidRPr="00C2394C">
              <w:rPr>
                <w:rFonts w:ascii="Verdana" w:hAnsi="Verdana"/>
                <w:sz w:val="18"/>
                <w:szCs w:val="18"/>
                <w:lang w:val="en-GB"/>
              </w:rPr>
              <w:t>Nomination deadline: 10 November;</w:t>
            </w:r>
          </w:p>
          <w:p w:rsidR="00C2394C" w:rsidRPr="00C2394C" w:rsidRDefault="00C2394C" w:rsidP="002B2371">
            <w:pPr>
              <w:spacing w:after="0" w:line="240" w:lineRule="auto"/>
              <w:rPr>
                <w:rFonts w:ascii="Verdana" w:hAnsi="Verdana"/>
                <w:sz w:val="18"/>
                <w:szCs w:val="18"/>
                <w:lang w:val="en-GB"/>
              </w:rPr>
            </w:pPr>
            <w:r w:rsidRPr="00C2394C">
              <w:rPr>
                <w:rFonts w:ascii="Verdana" w:hAnsi="Verdana"/>
                <w:sz w:val="18"/>
                <w:szCs w:val="18"/>
                <w:lang w:val="en-GB"/>
              </w:rPr>
              <w:t>Application deadline for incoming students: 30 November</w:t>
            </w:r>
          </w:p>
        </w:tc>
      </w:tr>
    </w:tbl>
    <w:p w:rsidR="00C2394C" w:rsidRPr="00F92867" w:rsidRDefault="00C2394C" w:rsidP="00C2394C">
      <w:pPr>
        <w:spacing w:after="0" w:line="240" w:lineRule="auto"/>
        <w:ind w:left="425"/>
        <w:rPr>
          <w:rFonts w:ascii="Verdana" w:hAnsi="Verdana"/>
          <w:b/>
          <w:sz w:val="18"/>
          <w:szCs w:val="18"/>
          <w:u w:val="single"/>
          <w:lang w:val="en-GB" w:eastAsia="de-DE"/>
        </w:rPr>
      </w:pPr>
    </w:p>
    <w:p w:rsidR="00C2394C" w:rsidRPr="00F92867" w:rsidRDefault="00C2394C" w:rsidP="00C2394C">
      <w:pPr>
        <w:spacing w:after="0" w:line="240" w:lineRule="auto"/>
        <w:ind w:left="425"/>
        <w:rPr>
          <w:rFonts w:ascii="Verdana" w:hAnsi="Verdana"/>
          <w:b/>
          <w:sz w:val="16"/>
          <w:szCs w:val="16"/>
          <w:u w:val="single"/>
          <w:lang w:val="en-GB" w:eastAsia="de-DE"/>
        </w:rPr>
      </w:pPr>
      <w:r w:rsidRPr="00F92867">
        <w:rPr>
          <w:rFonts w:ascii="Verdana" w:hAnsi="Verdana"/>
          <w:b/>
          <w:sz w:val="16"/>
          <w:szCs w:val="16"/>
          <w:u w:val="single"/>
          <w:lang w:val="en-GB" w:eastAsia="de-DE"/>
        </w:rPr>
        <w:t>HU BUDAPES01:</w:t>
      </w:r>
    </w:p>
    <w:p w:rsidR="00C2394C" w:rsidRPr="00F92867" w:rsidRDefault="00C2394C" w:rsidP="00C2394C">
      <w:pPr>
        <w:pStyle w:val="Listaszerbekezds"/>
        <w:numPr>
          <w:ilvl w:val="0"/>
          <w:numId w:val="3"/>
        </w:numPr>
        <w:spacing w:after="0" w:line="240" w:lineRule="auto"/>
        <w:rPr>
          <w:rFonts w:ascii="Verdana" w:hAnsi="Verdana"/>
          <w:sz w:val="16"/>
          <w:szCs w:val="16"/>
          <w:lang w:val="en-GB"/>
        </w:rPr>
      </w:pPr>
      <w:r w:rsidRPr="00F92867">
        <w:rPr>
          <w:rFonts w:ascii="Verdana" w:hAnsi="Verdana"/>
          <w:sz w:val="16"/>
          <w:szCs w:val="16"/>
          <w:lang w:val="en-GB"/>
        </w:rPr>
        <w:t>Academic calendar:</w:t>
      </w:r>
    </w:p>
    <w:p w:rsidR="00C2394C" w:rsidRPr="00F92867" w:rsidRDefault="00C2394C" w:rsidP="00C2394C">
      <w:pPr>
        <w:pStyle w:val="Listaszerbekezds"/>
        <w:numPr>
          <w:ilvl w:val="1"/>
          <w:numId w:val="3"/>
        </w:numPr>
        <w:spacing w:after="0" w:line="240" w:lineRule="auto"/>
        <w:rPr>
          <w:rFonts w:ascii="Verdana" w:hAnsi="Verdana"/>
          <w:sz w:val="16"/>
          <w:szCs w:val="16"/>
          <w:lang w:val="en-GB"/>
        </w:rPr>
      </w:pPr>
      <w:r w:rsidRPr="00F92867">
        <w:rPr>
          <w:rFonts w:ascii="Verdana" w:hAnsi="Verdana"/>
          <w:sz w:val="16"/>
          <w:szCs w:val="16"/>
          <w:lang w:val="en-GB"/>
        </w:rPr>
        <w:t>Autumn semester: from</w:t>
      </w:r>
      <w:r w:rsidRPr="00F92867">
        <w:rPr>
          <w:sz w:val="16"/>
          <w:szCs w:val="16"/>
        </w:rPr>
        <w:t xml:space="preserve"> </w:t>
      </w:r>
      <w:r w:rsidRPr="00F92867">
        <w:rPr>
          <w:rFonts w:ascii="Verdana" w:hAnsi="Verdana"/>
          <w:sz w:val="16"/>
          <w:szCs w:val="16"/>
          <w:lang w:val="en-GB"/>
        </w:rPr>
        <w:t xml:space="preserve">1st-10th September (usually second week of September), </w:t>
      </w:r>
      <w:r>
        <w:rPr>
          <w:rFonts w:ascii="Verdana" w:hAnsi="Verdana"/>
          <w:sz w:val="16"/>
          <w:szCs w:val="16"/>
          <w:lang w:val="en-GB"/>
        </w:rPr>
        <w:t>un</w:t>
      </w:r>
      <w:r w:rsidRPr="00F92867">
        <w:rPr>
          <w:rFonts w:ascii="Verdana" w:hAnsi="Verdana"/>
          <w:sz w:val="16"/>
          <w:szCs w:val="16"/>
          <w:lang w:val="en-GB"/>
        </w:rPr>
        <w:t>til 15th December</w:t>
      </w:r>
      <w:r>
        <w:rPr>
          <w:rFonts w:ascii="Verdana" w:hAnsi="Verdana"/>
          <w:sz w:val="16"/>
          <w:szCs w:val="16"/>
          <w:lang w:val="en-GB"/>
        </w:rPr>
        <w:t>; examination period until the beginning of February</w:t>
      </w:r>
    </w:p>
    <w:p w:rsidR="00C2394C" w:rsidRPr="00F92867" w:rsidRDefault="00C2394C" w:rsidP="00C2394C">
      <w:pPr>
        <w:pStyle w:val="Listaszerbekezds"/>
        <w:numPr>
          <w:ilvl w:val="1"/>
          <w:numId w:val="3"/>
        </w:numPr>
        <w:spacing w:after="0" w:line="240" w:lineRule="auto"/>
        <w:rPr>
          <w:rFonts w:ascii="Verdana" w:hAnsi="Verdana"/>
          <w:sz w:val="16"/>
          <w:szCs w:val="16"/>
          <w:lang w:val="en-GB"/>
        </w:rPr>
      </w:pPr>
      <w:r w:rsidRPr="00F92867">
        <w:rPr>
          <w:rFonts w:ascii="Verdana" w:hAnsi="Verdana"/>
          <w:sz w:val="16"/>
          <w:szCs w:val="16"/>
          <w:lang w:val="en-GB"/>
        </w:rPr>
        <w:t xml:space="preserve">spring semester: from </w:t>
      </w:r>
      <w:r>
        <w:rPr>
          <w:rFonts w:ascii="Verdana" w:hAnsi="Verdana"/>
          <w:sz w:val="16"/>
          <w:szCs w:val="16"/>
          <w:lang w:val="en-GB"/>
        </w:rPr>
        <w:t>1st</w:t>
      </w:r>
      <w:r w:rsidRPr="00F92867">
        <w:rPr>
          <w:rFonts w:ascii="Verdana" w:hAnsi="Verdana"/>
          <w:sz w:val="16"/>
          <w:szCs w:val="16"/>
          <w:lang w:val="en-GB"/>
        </w:rPr>
        <w:t>-</w:t>
      </w:r>
      <w:r>
        <w:rPr>
          <w:rFonts w:ascii="Verdana" w:hAnsi="Verdana"/>
          <w:sz w:val="16"/>
          <w:szCs w:val="16"/>
          <w:lang w:val="en-GB"/>
        </w:rPr>
        <w:t>10</w:t>
      </w:r>
      <w:r w:rsidRPr="00F92867">
        <w:rPr>
          <w:rFonts w:ascii="Verdana" w:hAnsi="Verdana"/>
          <w:sz w:val="16"/>
          <w:szCs w:val="16"/>
          <w:lang w:val="en-GB"/>
        </w:rPr>
        <w:t xml:space="preserve">th February (usually second week of February), </w:t>
      </w:r>
      <w:r>
        <w:rPr>
          <w:rFonts w:ascii="Verdana" w:hAnsi="Verdana"/>
          <w:sz w:val="16"/>
          <w:szCs w:val="16"/>
          <w:lang w:val="en-GB"/>
        </w:rPr>
        <w:t>un</w:t>
      </w:r>
      <w:r w:rsidRPr="00F92867">
        <w:rPr>
          <w:rFonts w:ascii="Verdana" w:hAnsi="Verdana"/>
          <w:sz w:val="16"/>
          <w:szCs w:val="16"/>
          <w:lang w:val="en-GB"/>
        </w:rPr>
        <w:t>til 15th May</w:t>
      </w:r>
      <w:r>
        <w:rPr>
          <w:rFonts w:ascii="Verdana" w:hAnsi="Verdana"/>
          <w:sz w:val="16"/>
          <w:szCs w:val="16"/>
          <w:lang w:val="en-GB"/>
        </w:rPr>
        <w:t>; examination period until the beginning of July</w:t>
      </w:r>
    </w:p>
    <w:p w:rsidR="00C2394C" w:rsidRPr="00F92867" w:rsidRDefault="00C2394C" w:rsidP="00C2394C">
      <w:pPr>
        <w:pStyle w:val="Listaszerbekezds"/>
        <w:numPr>
          <w:ilvl w:val="0"/>
          <w:numId w:val="3"/>
        </w:numPr>
        <w:spacing w:after="0" w:line="240" w:lineRule="auto"/>
        <w:rPr>
          <w:rFonts w:ascii="Verdana" w:hAnsi="Verdana"/>
          <w:i/>
          <w:sz w:val="16"/>
          <w:szCs w:val="16"/>
          <w:lang w:val="en-GB"/>
        </w:rPr>
      </w:pPr>
      <w:r w:rsidRPr="00F92867">
        <w:rPr>
          <w:rFonts w:ascii="Verdana" w:hAnsi="Verdana"/>
          <w:sz w:val="16"/>
          <w:szCs w:val="16"/>
          <w:lang w:val="en-GB" w:eastAsia="de-DE"/>
        </w:rPr>
        <w:t xml:space="preserve">Partner institution should send nominations to </w:t>
      </w:r>
      <w:hyperlink r:id="rId10" w:history="1">
        <w:r w:rsidRPr="00F92867">
          <w:rPr>
            <w:rStyle w:val="Hiperhivatkozs"/>
            <w:rFonts w:ascii="Verdana" w:hAnsi="Verdana"/>
            <w:sz w:val="16"/>
            <w:szCs w:val="16"/>
            <w:lang w:val="en-GB" w:eastAsia="de-DE"/>
          </w:rPr>
          <w:t>erasmus@elte.hu</w:t>
        </w:r>
      </w:hyperlink>
      <w:r w:rsidRPr="00F92867">
        <w:rPr>
          <w:rFonts w:ascii="Verdana" w:hAnsi="Verdana"/>
          <w:sz w:val="16"/>
          <w:szCs w:val="16"/>
          <w:lang w:val="en-GB" w:eastAsia="de-DE"/>
        </w:rPr>
        <w:t xml:space="preserve"> specifying the name, field of study, academic year and semester, number of months and e-mail address of the nominated student(s).</w:t>
      </w:r>
    </w:p>
    <w:p w:rsidR="00C2394C" w:rsidRPr="00147FA1" w:rsidRDefault="00C2394C">
      <w:pPr>
        <w:rPr>
          <w:sz w:val="20"/>
        </w:rPr>
      </w:pPr>
    </w:p>
    <w:p w:rsidR="00C2394C" w:rsidRPr="00D670E4" w:rsidRDefault="00C2394C" w:rsidP="00C2394C">
      <w:pPr>
        <w:pStyle w:val="Listaszerbekezds"/>
        <w:widowControl w:val="0"/>
        <w:tabs>
          <w:tab w:val="left" w:pos="-360"/>
          <w:tab w:val="left" w:pos="426"/>
        </w:tabs>
        <w:spacing w:after="0" w:line="240" w:lineRule="auto"/>
        <w:ind w:left="0"/>
        <w:jc w:val="both"/>
        <w:rPr>
          <w:rFonts w:ascii="Verdana" w:hAnsi="Verdana"/>
          <w:b/>
          <w:color w:val="002060"/>
          <w:sz w:val="20"/>
          <w:lang w:eastAsia="en-GB"/>
        </w:rPr>
      </w:pPr>
      <w:r w:rsidRPr="00D670E4">
        <w:rPr>
          <w:rFonts w:ascii="Verdana" w:hAnsi="Verdana"/>
          <w:b/>
          <w:color w:val="002060"/>
          <w:sz w:val="20"/>
          <w:lang w:eastAsia="en-GB"/>
        </w:rPr>
        <w:t>F.</w:t>
      </w:r>
      <w:r w:rsidRPr="00D670E4">
        <w:rPr>
          <w:rFonts w:ascii="Verdana" w:hAnsi="Verdana"/>
          <w:b/>
          <w:color w:val="002060"/>
          <w:sz w:val="20"/>
          <w:lang w:eastAsia="en-GB"/>
        </w:rPr>
        <w:tab/>
        <w:t>Information</w:t>
      </w:r>
    </w:p>
    <w:p w:rsidR="00C2394C" w:rsidRPr="00D670E4" w:rsidRDefault="00C2394C" w:rsidP="00C2394C">
      <w:pPr>
        <w:pStyle w:val="Listaszerbekezds"/>
        <w:keepNext/>
        <w:keepLines/>
        <w:widowControl w:val="0"/>
        <w:tabs>
          <w:tab w:val="left" w:pos="-360"/>
        </w:tabs>
        <w:spacing w:after="0" w:line="240" w:lineRule="auto"/>
        <w:ind w:left="426" w:hanging="1"/>
        <w:jc w:val="both"/>
        <w:rPr>
          <w:rFonts w:ascii="Verdana" w:hAnsi="Verdana"/>
          <w:color w:val="002060"/>
          <w:sz w:val="18"/>
          <w:szCs w:val="20"/>
          <w:u w:val="single"/>
          <w:lang w:eastAsia="en-GB"/>
        </w:rPr>
      </w:pPr>
    </w:p>
    <w:p w:rsidR="00C2394C" w:rsidRPr="00D670E4" w:rsidRDefault="00C2394C" w:rsidP="00C2394C">
      <w:pPr>
        <w:pStyle w:val="Listaszerbekezds"/>
        <w:keepNext/>
        <w:keepLines/>
        <w:widowControl w:val="0"/>
        <w:tabs>
          <w:tab w:val="left" w:pos="-360"/>
        </w:tabs>
        <w:spacing w:after="0" w:line="240" w:lineRule="auto"/>
        <w:ind w:left="709" w:hanging="284"/>
        <w:jc w:val="both"/>
        <w:rPr>
          <w:rFonts w:ascii="Verdana" w:hAnsi="Verdana"/>
          <w:b/>
          <w:color w:val="002060"/>
          <w:sz w:val="18"/>
          <w:szCs w:val="20"/>
          <w:u w:val="single"/>
          <w:lang w:eastAsia="en-GB"/>
        </w:rPr>
      </w:pPr>
      <w:r w:rsidRPr="00D670E4">
        <w:rPr>
          <w:rFonts w:ascii="Verdana" w:hAnsi="Verdana"/>
          <w:b/>
          <w:color w:val="002060"/>
          <w:sz w:val="18"/>
          <w:szCs w:val="20"/>
          <w:u w:val="single"/>
          <w:lang w:eastAsia="en-GB"/>
        </w:rPr>
        <w:t>1.</w:t>
      </w:r>
      <w:r w:rsidRPr="00D670E4">
        <w:rPr>
          <w:rFonts w:ascii="Verdana" w:hAnsi="Verdana"/>
          <w:b/>
          <w:color w:val="002060"/>
          <w:sz w:val="18"/>
          <w:szCs w:val="20"/>
          <w:u w:val="single"/>
          <w:lang w:eastAsia="en-GB"/>
        </w:rPr>
        <w:tab/>
        <w:t>Grading systems of the institutions</w:t>
      </w:r>
    </w:p>
    <w:p w:rsidR="00C2394C" w:rsidRDefault="00C2394C" w:rsidP="00C2394C">
      <w:pPr>
        <w:autoSpaceDE w:val="0"/>
        <w:autoSpaceDN w:val="0"/>
        <w:adjustRightInd w:val="0"/>
        <w:spacing w:after="0" w:line="240" w:lineRule="auto"/>
        <w:ind w:left="709"/>
        <w:jc w:val="both"/>
        <w:rPr>
          <w:rFonts w:ascii="Verdana" w:hAnsi="Verdana"/>
          <w:b/>
          <w:sz w:val="18"/>
          <w:u w:val="single"/>
          <w:lang w:val="en-GB"/>
        </w:rPr>
      </w:pPr>
    </w:p>
    <w:p w:rsidR="00C2394C" w:rsidRDefault="00C2394C" w:rsidP="00C2394C">
      <w:pPr>
        <w:autoSpaceDE w:val="0"/>
        <w:autoSpaceDN w:val="0"/>
        <w:adjustRightInd w:val="0"/>
        <w:spacing w:after="0" w:line="240" w:lineRule="auto"/>
        <w:ind w:left="709"/>
        <w:jc w:val="both"/>
        <w:rPr>
          <w:rFonts w:ascii="Verdana" w:hAnsi="Verdana"/>
          <w:i/>
          <w:sz w:val="16"/>
          <w:szCs w:val="16"/>
          <w:lang w:val="en-GB"/>
        </w:rPr>
      </w:pPr>
      <w:r w:rsidRPr="00F92867">
        <w:rPr>
          <w:rFonts w:ascii="Verdana" w:hAnsi="Verdana"/>
          <w:b/>
          <w:sz w:val="16"/>
          <w:szCs w:val="16"/>
          <w:u w:val="single"/>
          <w:lang w:val="en-GB"/>
        </w:rPr>
        <w:t>HU BUDAPES01:</w:t>
      </w:r>
      <w:r w:rsidRPr="00F92867">
        <w:rPr>
          <w:rFonts w:ascii="Verdana" w:hAnsi="Verdana"/>
          <w:i/>
          <w:sz w:val="16"/>
          <w:szCs w:val="16"/>
          <w:lang w:val="en-GB"/>
        </w:rPr>
        <w:t xml:space="preserve"> </w:t>
      </w:r>
      <w:r w:rsidR="00424BC5" w:rsidRPr="00424BC5">
        <w:t>www.elte.hu/en&gt;Education&gt;Academic&gt;ECTS credit system and grading</w:t>
      </w:r>
      <w:bookmarkStart w:id="1" w:name="_GoBack"/>
      <w:bookmarkEnd w:id="1"/>
    </w:p>
    <w:p w:rsidR="00C2394C" w:rsidRPr="00F92867" w:rsidRDefault="00C2394C" w:rsidP="00C2394C">
      <w:pPr>
        <w:spacing w:after="0" w:line="240" w:lineRule="auto"/>
        <w:ind w:left="708"/>
        <w:jc w:val="both"/>
        <w:rPr>
          <w:rFonts w:ascii="Verdana" w:hAnsi="Verdana"/>
          <w:color w:val="000000"/>
          <w:sz w:val="16"/>
          <w:szCs w:val="16"/>
          <w:lang w:val="en-GB"/>
        </w:rPr>
      </w:pPr>
      <w:bookmarkStart w:id="2" w:name="top"/>
      <w:r w:rsidRPr="00F92867">
        <w:rPr>
          <w:rFonts w:ascii="Verdana" w:hAnsi="Verdana"/>
          <w:color w:val="000000"/>
          <w:sz w:val="16"/>
          <w:szCs w:val="16"/>
          <w:lang w:val="en-GB"/>
        </w:rPr>
        <w:t>The Hungarian academic credit system following Hungarian law is an ECTS-compatible system. The calculation of credits is based on the number of working hours of the students (one credit is 30 student working hours, on average).</w:t>
      </w:r>
    </w:p>
    <w:p w:rsidR="00C2394C" w:rsidRPr="00F92867" w:rsidRDefault="00C2394C" w:rsidP="00C2394C">
      <w:pPr>
        <w:spacing w:after="0" w:line="240" w:lineRule="auto"/>
        <w:ind w:left="708"/>
        <w:jc w:val="both"/>
        <w:rPr>
          <w:rFonts w:ascii="Verdana" w:hAnsi="Verdana"/>
          <w:color w:val="000000"/>
          <w:sz w:val="16"/>
          <w:szCs w:val="16"/>
          <w:lang w:val="en-GB"/>
        </w:rPr>
      </w:pPr>
      <w:r w:rsidRPr="00F92867">
        <w:rPr>
          <w:rFonts w:ascii="Verdana" w:hAnsi="Verdana"/>
          <w:color w:val="000000"/>
          <w:sz w:val="16"/>
          <w:szCs w:val="16"/>
          <w:lang w:val="en-GB"/>
        </w:rPr>
        <w:t xml:space="preserve">At the end of the semester the student’s study achievement is evaluated with a grade (1-fail, 2-sufficient or pass, 3-medium or satisfactory, 4-good, 5-excellent). The ECTS conversion table ensures transfer procedures between the Hungarian academic credit system and the ECTS. The recognition of courses completed abroad is based on the credit transfer regulation. </w:t>
      </w:r>
    </w:p>
    <w:p w:rsidR="00C2394C" w:rsidRPr="00F92867" w:rsidRDefault="00C2394C" w:rsidP="00C2394C">
      <w:pPr>
        <w:spacing w:after="0" w:line="240" w:lineRule="auto"/>
        <w:ind w:left="708"/>
        <w:jc w:val="both"/>
        <w:rPr>
          <w:rFonts w:ascii="Verdana" w:hAnsi="Verdana"/>
          <w:color w:val="000000"/>
          <w:sz w:val="16"/>
          <w:szCs w:val="16"/>
          <w:lang w:val="en-GB"/>
        </w:rPr>
      </w:pPr>
      <w:r w:rsidRPr="00F92867">
        <w:rPr>
          <w:rFonts w:ascii="Verdana" w:hAnsi="Verdana"/>
          <w:color w:val="000000"/>
          <w:sz w:val="16"/>
          <w:szCs w:val="16"/>
          <w:lang w:val="en-GB"/>
        </w:rPr>
        <w:t xml:space="preserve">For incoming international students, a Transcript of Records, which contains the code and title of the completed courses, credits, grade, and its ECTS-compatible grade, will be issued at the end of the semester.  </w:t>
      </w:r>
    </w:p>
    <w:p w:rsidR="00C2394C" w:rsidRPr="00F92867" w:rsidRDefault="00C2394C" w:rsidP="00C2394C">
      <w:pPr>
        <w:spacing w:after="0" w:line="240" w:lineRule="auto"/>
        <w:ind w:firstLine="708"/>
        <w:rPr>
          <w:rFonts w:ascii="Verdana" w:hAnsi="Verdana"/>
          <w:color w:val="000000"/>
          <w:sz w:val="16"/>
          <w:szCs w:val="16"/>
          <w:lang w:val="en-GB"/>
        </w:rPr>
      </w:pPr>
      <w:r w:rsidRPr="00F92867">
        <w:rPr>
          <w:rFonts w:ascii="Verdana" w:hAnsi="Verdana"/>
          <w:color w:val="000000"/>
          <w:sz w:val="16"/>
          <w:szCs w:val="16"/>
          <w:lang w:val="en-GB"/>
        </w:rPr>
        <w:t>ECTS conversion table – System of assessment:</w:t>
      </w:r>
    </w:p>
    <w:p w:rsidR="00C2394C" w:rsidRPr="00F92867" w:rsidRDefault="00C2394C" w:rsidP="00C2394C">
      <w:pPr>
        <w:spacing w:after="0" w:line="240" w:lineRule="auto"/>
        <w:ind w:firstLine="708"/>
        <w:rPr>
          <w:rFonts w:ascii="Verdana" w:hAnsi="Verdana"/>
          <w:color w:val="000000"/>
          <w:sz w:val="16"/>
          <w:szCs w:val="16"/>
          <w:lang w:val="en-GB"/>
        </w:rPr>
      </w:pPr>
    </w:p>
    <w:tbl>
      <w:tblPr>
        <w:tblStyle w:val="Rcsostblzat"/>
        <w:tblW w:w="0" w:type="auto"/>
        <w:tblInd w:w="959" w:type="dxa"/>
        <w:tblLook w:val="04A0" w:firstRow="1" w:lastRow="0" w:firstColumn="1" w:lastColumn="0" w:noHBand="0" w:noVBand="1"/>
      </w:tblPr>
      <w:tblGrid>
        <w:gridCol w:w="2551"/>
        <w:gridCol w:w="2835"/>
      </w:tblGrid>
      <w:tr w:rsidR="00C2394C" w:rsidRPr="00F92867" w:rsidTr="002B2371">
        <w:tc>
          <w:tcPr>
            <w:tcW w:w="2551" w:type="dxa"/>
          </w:tcPr>
          <w:p w:rsidR="00C2394C" w:rsidRPr="00F92867" w:rsidRDefault="00C2394C" w:rsidP="002B2371">
            <w:pPr>
              <w:rPr>
                <w:rFonts w:ascii="Verdana" w:hAnsi="Verdana"/>
                <w:color w:val="000000"/>
                <w:sz w:val="16"/>
                <w:szCs w:val="16"/>
                <w:lang w:val="en-GB"/>
              </w:rPr>
            </w:pPr>
            <w:r w:rsidRPr="00F92867">
              <w:rPr>
                <w:rFonts w:ascii="Verdana" w:hAnsi="Verdana"/>
                <w:color w:val="000000"/>
                <w:sz w:val="16"/>
                <w:szCs w:val="16"/>
                <w:lang w:val="en-GB"/>
              </w:rPr>
              <w:t>ELTE grade</w:t>
            </w:r>
          </w:p>
        </w:tc>
        <w:tc>
          <w:tcPr>
            <w:tcW w:w="2835" w:type="dxa"/>
          </w:tcPr>
          <w:p w:rsidR="00C2394C" w:rsidRPr="00F92867" w:rsidRDefault="00C2394C" w:rsidP="002B2371">
            <w:pPr>
              <w:rPr>
                <w:rFonts w:ascii="Verdana" w:hAnsi="Verdana"/>
                <w:color w:val="000000"/>
                <w:sz w:val="16"/>
                <w:szCs w:val="16"/>
                <w:lang w:val="en-GB"/>
              </w:rPr>
            </w:pPr>
            <w:r w:rsidRPr="00F92867">
              <w:rPr>
                <w:rFonts w:ascii="Verdana" w:hAnsi="Verdana"/>
                <w:color w:val="000000"/>
                <w:sz w:val="16"/>
                <w:szCs w:val="16"/>
                <w:lang w:val="en-GB"/>
              </w:rPr>
              <w:t>Equivalent ECTS grade</w:t>
            </w:r>
          </w:p>
        </w:tc>
      </w:tr>
      <w:tr w:rsidR="00C2394C" w:rsidRPr="00F92867" w:rsidTr="002B2371">
        <w:tc>
          <w:tcPr>
            <w:tcW w:w="2551" w:type="dxa"/>
          </w:tcPr>
          <w:p w:rsidR="00C2394C" w:rsidRPr="00F92867" w:rsidRDefault="00C2394C" w:rsidP="002B2371">
            <w:pPr>
              <w:rPr>
                <w:rFonts w:ascii="Verdana" w:hAnsi="Verdana"/>
                <w:color w:val="000000"/>
                <w:sz w:val="16"/>
                <w:szCs w:val="16"/>
                <w:lang w:val="en-GB"/>
              </w:rPr>
            </w:pPr>
            <w:r w:rsidRPr="00F92867">
              <w:rPr>
                <w:rFonts w:ascii="Verdana" w:hAnsi="Verdana"/>
                <w:color w:val="000000"/>
                <w:sz w:val="16"/>
                <w:szCs w:val="16"/>
                <w:lang w:val="en-GB"/>
              </w:rPr>
              <w:t>5 (excellent)</w:t>
            </w:r>
          </w:p>
        </w:tc>
        <w:tc>
          <w:tcPr>
            <w:tcW w:w="2835" w:type="dxa"/>
          </w:tcPr>
          <w:p w:rsidR="00C2394C" w:rsidRPr="00F92867" w:rsidRDefault="00C2394C" w:rsidP="002B2371">
            <w:pPr>
              <w:rPr>
                <w:rFonts w:ascii="Verdana" w:hAnsi="Verdana"/>
                <w:color w:val="000000"/>
                <w:sz w:val="16"/>
                <w:szCs w:val="16"/>
                <w:lang w:val="en-GB"/>
              </w:rPr>
            </w:pPr>
            <w:r w:rsidRPr="00F92867">
              <w:rPr>
                <w:rFonts w:ascii="Verdana" w:hAnsi="Verdana"/>
                <w:color w:val="000000"/>
                <w:sz w:val="16"/>
                <w:szCs w:val="16"/>
                <w:lang w:val="en-GB"/>
              </w:rPr>
              <w:t>A, B (excellent, very good)</w:t>
            </w:r>
          </w:p>
        </w:tc>
      </w:tr>
      <w:tr w:rsidR="00C2394C" w:rsidRPr="00F92867" w:rsidTr="002B2371">
        <w:tc>
          <w:tcPr>
            <w:tcW w:w="2551" w:type="dxa"/>
          </w:tcPr>
          <w:p w:rsidR="00C2394C" w:rsidRPr="00F92867" w:rsidRDefault="00C2394C" w:rsidP="002B2371">
            <w:pPr>
              <w:rPr>
                <w:rFonts w:ascii="Verdana" w:hAnsi="Verdana"/>
                <w:color w:val="000000"/>
                <w:sz w:val="16"/>
                <w:szCs w:val="16"/>
                <w:lang w:val="en-GB"/>
              </w:rPr>
            </w:pPr>
            <w:r w:rsidRPr="00F92867">
              <w:rPr>
                <w:rFonts w:ascii="Verdana" w:hAnsi="Verdana"/>
                <w:color w:val="000000"/>
                <w:sz w:val="16"/>
                <w:szCs w:val="16"/>
                <w:lang w:val="en-GB"/>
              </w:rPr>
              <w:t>4 (good)</w:t>
            </w:r>
          </w:p>
        </w:tc>
        <w:tc>
          <w:tcPr>
            <w:tcW w:w="2835" w:type="dxa"/>
          </w:tcPr>
          <w:p w:rsidR="00C2394C" w:rsidRPr="00F92867" w:rsidRDefault="00C2394C" w:rsidP="002B2371">
            <w:pPr>
              <w:rPr>
                <w:rFonts w:ascii="Verdana" w:hAnsi="Verdana"/>
                <w:color w:val="000000"/>
                <w:sz w:val="16"/>
                <w:szCs w:val="16"/>
                <w:lang w:val="en-GB"/>
              </w:rPr>
            </w:pPr>
            <w:r w:rsidRPr="00F92867">
              <w:rPr>
                <w:rFonts w:ascii="Verdana" w:hAnsi="Verdana"/>
                <w:color w:val="000000"/>
                <w:sz w:val="16"/>
                <w:szCs w:val="16"/>
                <w:lang w:val="en-GB"/>
              </w:rPr>
              <w:t>C (good)</w:t>
            </w:r>
          </w:p>
        </w:tc>
      </w:tr>
      <w:tr w:rsidR="00C2394C" w:rsidRPr="00F92867" w:rsidTr="002B2371">
        <w:tc>
          <w:tcPr>
            <w:tcW w:w="2551" w:type="dxa"/>
          </w:tcPr>
          <w:p w:rsidR="00C2394C" w:rsidRPr="00F92867" w:rsidRDefault="00C2394C" w:rsidP="002B2371">
            <w:pPr>
              <w:rPr>
                <w:rFonts w:ascii="Verdana" w:hAnsi="Verdana"/>
                <w:color w:val="000000"/>
                <w:sz w:val="16"/>
                <w:szCs w:val="16"/>
                <w:lang w:val="en-GB"/>
              </w:rPr>
            </w:pPr>
            <w:r w:rsidRPr="00F92867">
              <w:rPr>
                <w:rFonts w:ascii="Verdana" w:hAnsi="Verdana"/>
                <w:color w:val="000000"/>
                <w:sz w:val="16"/>
                <w:szCs w:val="16"/>
                <w:lang w:val="en-GB"/>
              </w:rPr>
              <w:t>3 (satisfactory)</w:t>
            </w:r>
          </w:p>
        </w:tc>
        <w:tc>
          <w:tcPr>
            <w:tcW w:w="2835" w:type="dxa"/>
          </w:tcPr>
          <w:p w:rsidR="00C2394C" w:rsidRPr="00F92867" w:rsidRDefault="00C2394C" w:rsidP="002B2371">
            <w:pPr>
              <w:rPr>
                <w:rFonts w:ascii="Verdana" w:hAnsi="Verdana"/>
                <w:color w:val="000000"/>
                <w:sz w:val="16"/>
                <w:szCs w:val="16"/>
                <w:lang w:val="en-GB"/>
              </w:rPr>
            </w:pPr>
            <w:r w:rsidRPr="00F92867">
              <w:rPr>
                <w:rFonts w:ascii="Verdana" w:hAnsi="Verdana"/>
                <w:color w:val="000000"/>
                <w:sz w:val="16"/>
                <w:szCs w:val="16"/>
                <w:lang w:val="en-GB"/>
              </w:rPr>
              <w:t>D (satisfactory)</w:t>
            </w:r>
          </w:p>
        </w:tc>
      </w:tr>
      <w:tr w:rsidR="00C2394C" w:rsidRPr="00F92867" w:rsidTr="002B2371">
        <w:tc>
          <w:tcPr>
            <w:tcW w:w="2551" w:type="dxa"/>
          </w:tcPr>
          <w:p w:rsidR="00C2394C" w:rsidRPr="00F92867" w:rsidRDefault="00C2394C" w:rsidP="002B2371">
            <w:pPr>
              <w:rPr>
                <w:rFonts w:ascii="Verdana" w:hAnsi="Verdana"/>
                <w:color w:val="000000"/>
                <w:sz w:val="16"/>
                <w:szCs w:val="16"/>
                <w:lang w:val="en-GB"/>
              </w:rPr>
            </w:pPr>
            <w:r w:rsidRPr="00F92867">
              <w:rPr>
                <w:rFonts w:ascii="Verdana" w:hAnsi="Verdana"/>
                <w:color w:val="000000"/>
                <w:sz w:val="16"/>
                <w:szCs w:val="16"/>
                <w:lang w:val="en-GB"/>
              </w:rPr>
              <w:t>2 (pass)</w:t>
            </w:r>
          </w:p>
        </w:tc>
        <w:tc>
          <w:tcPr>
            <w:tcW w:w="2835" w:type="dxa"/>
          </w:tcPr>
          <w:p w:rsidR="00C2394C" w:rsidRPr="00F92867" w:rsidRDefault="00C2394C" w:rsidP="002B2371">
            <w:pPr>
              <w:rPr>
                <w:rFonts w:ascii="Verdana" w:hAnsi="Verdana"/>
                <w:color w:val="000000"/>
                <w:sz w:val="16"/>
                <w:szCs w:val="16"/>
                <w:lang w:val="en-GB"/>
              </w:rPr>
            </w:pPr>
            <w:r w:rsidRPr="00F92867">
              <w:rPr>
                <w:rFonts w:ascii="Verdana" w:hAnsi="Verdana"/>
                <w:color w:val="000000"/>
                <w:sz w:val="16"/>
                <w:szCs w:val="16"/>
                <w:lang w:val="en-GB"/>
              </w:rPr>
              <w:t>E (sufficient)</w:t>
            </w:r>
          </w:p>
        </w:tc>
      </w:tr>
      <w:tr w:rsidR="00C2394C" w:rsidRPr="00F92867" w:rsidTr="002B2371">
        <w:tc>
          <w:tcPr>
            <w:tcW w:w="2551" w:type="dxa"/>
          </w:tcPr>
          <w:p w:rsidR="00C2394C" w:rsidRPr="00F92867" w:rsidRDefault="00C2394C" w:rsidP="002B2371">
            <w:pPr>
              <w:rPr>
                <w:rFonts w:ascii="Verdana" w:hAnsi="Verdana"/>
                <w:color w:val="000000"/>
                <w:sz w:val="16"/>
                <w:szCs w:val="16"/>
                <w:lang w:val="en-GB"/>
              </w:rPr>
            </w:pPr>
            <w:r w:rsidRPr="00F92867">
              <w:rPr>
                <w:rFonts w:ascii="Verdana" w:hAnsi="Verdana"/>
                <w:color w:val="000000"/>
                <w:sz w:val="16"/>
                <w:szCs w:val="16"/>
                <w:lang w:val="en-GB"/>
              </w:rPr>
              <w:t>1 (Fail)</w:t>
            </w:r>
          </w:p>
        </w:tc>
        <w:tc>
          <w:tcPr>
            <w:tcW w:w="2835" w:type="dxa"/>
          </w:tcPr>
          <w:p w:rsidR="00C2394C" w:rsidRPr="00F92867" w:rsidRDefault="00C2394C" w:rsidP="002B2371">
            <w:pPr>
              <w:rPr>
                <w:rFonts w:ascii="Verdana" w:hAnsi="Verdana"/>
                <w:color w:val="000000"/>
                <w:sz w:val="16"/>
                <w:szCs w:val="16"/>
                <w:lang w:val="en-GB"/>
              </w:rPr>
            </w:pPr>
            <w:r w:rsidRPr="00F92867">
              <w:rPr>
                <w:rFonts w:ascii="Verdana" w:hAnsi="Verdana"/>
                <w:color w:val="000000"/>
                <w:sz w:val="16"/>
                <w:szCs w:val="16"/>
                <w:lang w:val="en-GB"/>
              </w:rPr>
              <w:t>FX, F (fail)</w:t>
            </w:r>
          </w:p>
        </w:tc>
      </w:tr>
    </w:tbl>
    <w:p w:rsidR="00C2394C" w:rsidRPr="00F92867" w:rsidRDefault="00C2394C" w:rsidP="00C2394C">
      <w:pPr>
        <w:spacing w:after="0" w:line="240" w:lineRule="auto"/>
        <w:ind w:left="708"/>
        <w:rPr>
          <w:rFonts w:ascii="Verdana" w:hAnsi="Verdana"/>
          <w:color w:val="000000"/>
          <w:sz w:val="16"/>
          <w:szCs w:val="16"/>
          <w:lang w:val="en-GB"/>
        </w:rPr>
      </w:pPr>
      <w:r w:rsidRPr="00F92867">
        <w:rPr>
          <w:rFonts w:ascii="Verdana" w:hAnsi="Verdana"/>
          <w:color w:val="000000"/>
          <w:sz w:val="16"/>
          <w:szCs w:val="16"/>
          <w:lang w:val="en-GB"/>
        </w:rPr>
        <w:t>ECTS credits</w:t>
      </w:r>
      <w:proofErr w:type="gramStart"/>
      <w:r w:rsidRPr="00F92867">
        <w:rPr>
          <w:rFonts w:ascii="Verdana" w:hAnsi="Verdana"/>
          <w:color w:val="000000"/>
          <w:sz w:val="16"/>
          <w:szCs w:val="16"/>
          <w:lang w:val="en-GB"/>
        </w:rPr>
        <w:t>:</w:t>
      </w:r>
      <w:proofErr w:type="gramEnd"/>
      <w:r w:rsidRPr="00F92867">
        <w:rPr>
          <w:rFonts w:ascii="Verdana" w:hAnsi="Verdana"/>
          <w:color w:val="000000"/>
          <w:sz w:val="16"/>
          <w:szCs w:val="16"/>
          <w:lang w:val="en-GB"/>
        </w:rPr>
        <w:br/>
        <w:t>1 full academic year = 60 credits</w:t>
      </w:r>
      <w:r w:rsidRPr="00F92867">
        <w:rPr>
          <w:rFonts w:ascii="Verdana" w:hAnsi="Verdana"/>
          <w:color w:val="000000"/>
          <w:sz w:val="16"/>
          <w:szCs w:val="16"/>
          <w:lang w:val="en-GB"/>
        </w:rPr>
        <w:br/>
        <w:t>1 semester = 30 credits</w:t>
      </w:r>
    </w:p>
    <w:bookmarkEnd w:id="2"/>
    <w:p w:rsidR="00C2394C" w:rsidRDefault="00C2394C" w:rsidP="00C2394C">
      <w:pPr>
        <w:autoSpaceDE w:val="0"/>
        <w:autoSpaceDN w:val="0"/>
        <w:adjustRightInd w:val="0"/>
        <w:spacing w:after="0" w:line="240" w:lineRule="auto"/>
        <w:ind w:left="709"/>
        <w:jc w:val="both"/>
        <w:rPr>
          <w:rFonts w:ascii="Verdana" w:hAnsi="Verdana"/>
          <w:color w:val="000000"/>
          <w:sz w:val="16"/>
          <w:szCs w:val="16"/>
          <w:lang w:val="en-GB"/>
        </w:rPr>
      </w:pPr>
    </w:p>
    <w:p w:rsidR="00147FA1" w:rsidRPr="00F92867" w:rsidRDefault="00147FA1" w:rsidP="00C2394C">
      <w:pPr>
        <w:autoSpaceDE w:val="0"/>
        <w:autoSpaceDN w:val="0"/>
        <w:adjustRightInd w:val="0"/>
        <w:spacing w:after="0" w:line="240" w:lineRule="auto"/>
        <w:ind w:left="709"/>
        <w:jc w:val="both"/>
        <w:rPr>
          <w:rFonts w:ascii="Verdana" w:hAnsi="Verdana"/>
          <w:color w:val="000000"/>
          <w:sz w:val="16"/>
          <w:szCs w:val="16"/>
          <w:lang w:val="en-GB"/>
        </w:rPr>
      </w:pPr>
    </w:p>
    <w:p w:rsidR="00C2394C" w:rsidRPr="00F92867" w:rsidRDefault="00C2394C" w:rsidP="00C2394C">
      <w:pPr>
        <w:pStyle w:val="Listaszerbekezds"/>
        <w:keepNext/>
        <w:keepLines/>
        <w:widowControl w:val="0"/>
        <w:tabs>
          <w:tab w:val="left" w:pos="-360"/>
        </w:tabs>
        <w:spacing w:after="0" w:line="240" w:lineRule="auto"/>
        <w:ind w:left="709" w:hanging="284"/>
        <w:contextualSpacing w:val="0"/>
        <w:jc w:val="both"/>
        <w:rPr>
          <w:rFonts w:ascii="Verdana" w:hAnsi="Verdana"/>
          <w:b/>
          <w:color w:val="002060"/>
          <w:sz w:val="20"/>
          <w:szCs w:val="20"/>
          <w:u w:val="single"/>
          <w:lang w:eastAsia="en-GB"/>
        </w:rPr>
      </w:pPr>
      <w:r w:rsidRPr="00F92867">
        <w:rPr>
          <w:rFonts w:ascii="Verdana" w:hAnsi="Verdana"/>
          <w:b/>
          <w:color w:val="002060"/>
          <w:sz w:val="20"/>
          <w:szCs w:val="20"/>
          <w:u w:val="single"/>
          <w:lang w:eastAsia="en-GB"/>
        </w:rPr>
        <w:t>2.</w:t>
      </w:r>
      <w:r w:rsidRPr="00F92867">
        <w:rPr>
          <w:rFonts w:ascii="Verdana" w:hAnsi="Verdana"/>
          <w:b/>
          <w:color w:val="002060"/>
          <w:sz w:val="20"/>
          <w:szCs w:val="20"/>
          <w:u w:val="single"/>
          <w:lang w:eastAsia="en-GB"/>
        </w:rPr>
        <w:tab/>
        <w:t>Visa</w:t>
      </w:r>
    </w:p>
    <w:p w:rsidR="00C2394C" w:rsidRPr="00F92867" w:rsidRDefault="00C2394C" w:rsidP="00C2394C">
      <w:pPr>
        <w:pStyle w:val="Listaszerbekezds"/>
        <w:widowControl w:val="0"/>
        <w:tabs>
          <w:tab w:val="left" w:pos="-360"/>
        </w:tabs>
        <w:spacing w:after="0" w:line="240" w:lineRule="auto"/>
        <w:ind w:left="709"/>
        <w:jc w:val="both"/>
        <w:rPr>
          <w:rFonts w:ascii="Verdana" w:hAnsi="Verdana"/>
          <w:sz w:val="16"/>
          <w:szCs w:val="18"/>
          <w:lang w:eastAsia="en-GB"/>
        </w:rPr>
      </w:pPr>
      <w:r w:rsidRPr="00F92867">
        <w:rPr>
          <w:rFonts w:ascii="Verdana" w:hAnsi="Verdana"/>
          <w:sz w:val="16"/>
          <w:szCs w:val="18"/>
          <w:lang w:eastAsia="en-GB"/>
        </w:rPr>
        <w:t>Information and assistance can be provided by the following contact points and information sources:</w:t>
      </w:r>
    </w:p>
    <w:tbl>
      <w:tblPr>
        <w:tblW w:w="940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69"/>
        <w:gridCol w:w="2143"/>
        <w:gridCol w:w="4394"/>
      </w:tblGrid>
      <w:tr w:rsidR="00C2394C" w:rsidRPr="00F92867" w:rsidTr="002B2371">
        <w:trPr>
          <w:trHeight w:val="663"/>
        </w:trPr>
        <w:tc>
          <w:tcPr>
            <w:tcW w:w="2869" w:type="dxa"/>
            <w:shd w:val="clear" w:color="auto" w:fill="003399"/>
          </w:tcPr>
          <w:p w:rsidR="00C2394C" w:rsidRPr="00F92867" w:rsidRDefault="00C2394C" w:rsidP="002B2371">
            <w:pPr>
              <w:spacing w:after="0" w:line="240" w:lineRule="auto"/>
              <w:jc w:val="center"/>
              <w:rPr>
                <w:rFonts w:ascii="Verdana" w:hAnsi="Verdana"/>
                <w:b/>
                <w:bCs/>
                <w:color w:val="FFFFFF"/>
                <w:sz w:val="18"/>
                <w:szCs w:val="18"/>
                <w:lang w:val="en-GB"/>
              </w:rPr>
            </w:pPr>
            <w:r w:rsidRPr="00F92867">
              <w:rPr>
                <w:rFonts w:ascii="Verdana" w:hAnsi="Verdana"/>
                <w:b/>
                <w:bCs/>
                <w:color w:val="FFFFFF"/>
                <w:sz w:val="18"/>
                <w:szCs w:val="18"/>
                <w:lang w:val="en-GB"/>
              </w:rPr>
              <w:t xml:space="preserve">Institution </w:t>
            </w:r>
            <w:r w:rsidRPr="00F92867">
              <w:rPr>
                <w:rFonts w:ascii="Verdana" w:hAnsi="Verdana"/>
                <w:b/>
                <w:bCs/>
                <w:color w:val="FFFFFF"/>
                <w:sz w:val="18"/>
                <w:szCs w:val="18"/>
                <w:lang w:val="en-GB"/>
              </w:rPr>
              <w:br/>
              <w:t>[Erasmus code]</w:t>
            </w:r>
          </w:p>
        </w:tc>
        <w:tc>
          <w:tcPr>
            <w:tcW w:w="2143" w:type="dxa"/>
            <w:shd w:val="clear" w:color="auto" w:fill="003399"/>
          </w:tcPr>
          <w:p w:rsidR="00C2394C" w:rsidRPr="00F92867" w:rsidRDefault="00C2394C" w:rsidP="002B2371">
            <w:pPr>
              <w:spacing w:after="0" w:line="240" w:lineRule="auto"/>
              <w:jc w:val="center"/>
              <w:rPr>
                <w:rFonts w:ascii="Verdana" w:hAnsi="Verdana"/>
                <w:b/>
                <w:bCs/>
                <w:color w:val="FFFFFF"/>
                <w:sz w:val="18"/>
                <w:szCs w:val="18"/>
                <w:lang w:val="en-GB"/>
              </w:rPr>
            </w:pPr>
            <w:r w:rsidRPr="00F92867">
              <w:rPr>
                <w:rFonts w:ascii="Verdana" w:hAnsi="Verdana"/>
                <w:b/>
                <w:bCs/>
                <w:color w:val="FFFFFF"/>
                <w:sz w:val="18"/>
                <w:szCs w:val="18"/>
                <w:lang w:val="en-GB"/>
              </w:rPr>
              <w:t>Contact details</w:t>
            </w:r>
          </w:p>
          <w:p w:rsidR="00C2394C" w:rsidRPr="00F92867" w:rsidRDefault="00C2394C" w:rsidP="002B2371">
            <w:pPr>
              <w:spacing w:after="0" w:line="240" w:lineRule="auto"/>
              <w:jc w:val="center"/>
              <w:rPr>
                <w:rFonts w:ascii="Verdana" w:hAnsi="Verdana"/>
                <w:b/>
                <w:bCs/>
                <w:color w:val="FFFFFF"/>
                <w:sz w:val="18"/>
                <w:szCs w:val="18"/>
                <w:lang w:val="en-GB"/>
              </w:rPr>
            </w:pPr>
            <w:r w:rsidRPr="00F92867">
              <w:rPr>
                <w:rFonts w:ascii="Verdana" w:hAnsi="Verdana"/>
                <w:b/>
                <w:bCs/>
                <w:color w:val="FFFFFF"/>
                <w:sz w:val="18"/>
                <w:szCs w:val="18"/>
                <w:lang w:val="en-GB"/>
              </w:rPr>
              <w:t>(email, phone)</w:t>
            </w:r>
          </w:p>
        </w:tc>
        <w:tc>
          <w:tcPr>
            <w:tcW w:w="4394" w:type="dxa"/>
            <w:shd w:val="clear" w:color="auto" w:fill="003399"/>
          </w:tcPr>
          <w:p w:rsidR="00C2394C" w:rsidRPr="00F92867" w:rsidRDefault="00C2394C" w:rsidP="002B2371">
            <w:pPr>
              <w:spacing w:after="0" w:line="240" w:lineRule="auto"/>
              <w:jc w:val="center"/>
              <w:rPr>
                <w:rFonts w:ascii="Verdana" w:hAnsi="Verdana"/>
                <w:b/>
                <w:bCs/>
                <w:color w:val="FFFFFF"/>
                <w:sz w:val="18"/>
                <w:szCs w:val="18"/>
                <w:lang w:val="en-GB"/>
              </w:rPr>
            </w:pPr>
            <w:r w:rsidRPr="00F92867">
              <w:rPr>
                <w:rFonts w:ascii="Verdana" w:hAnsi="Verdana"/>
                <w:b/>
                <w:bCs/>
                <w:color w:val="FFFFFF"/>
                <w:sz w:val="18"/>
                <w:szCs w:val="18"/>
                <w:lang w:val="en-GB"/>
              </w:rPr>
              <w:t>Website for information</w:t>
            </w:r>
          </w:p>
        </w:tc>
      </w:tr>
      <w:tr w:rsidR="00C2394C" w:rsidRPr="00F92867" w:rsidTr="002B2371">
        <w:trPr>
          <w:trHeight w:val="442"/>
        </w:trPr>
        <w:tc>
          <w:tcPr>
            <w:tcW w:w="2869" w:type="dxa"/>
            <w:tcBorders>
              <w:bottom w:val="single" w:sz="6" w:space="0" w:color="000080"/>
            </w:tcBorders>
            <w:shd w:val="clear" w:color="auto" w:fill="auto"/>
            <w:vAlign w:val="center"/>
          </w:tcPr>
          <w:p w:rsidR="00C2394C" w:rsidRPr="00F92867" w:rsidRDefault="00C2394C" w:rsidP="002B2371">
            <w:pPr>
              <w:spacing w:after="0" w:line="240" w:lineRule="auto"/>
              <w:rPr>
                <w:rFonts w:ascii="Verdana" w:hAnsi="Verdana"/>
                <w:sz w:val="18"/>
                <w:szCs w:val="18"/>
                <w:lang w:val="en-GB"/>
              </w:rPr>
            </w:pPr>
            <w:r w:rsidRPr="00F92867">
              <w:rPr>
                <w:rFonts w:ascii="Verdana" w:hAnsi="Verdana"/>
                <w:sz w:val="18"/>
                <w:szCs w:val="18"/>
                <w:lang w:val="en-GB"/>
              </w:rPr>
              <w:t>HU BUDAPES01</w:t>
            </w:r>
          </w:p>
        </w:tc>
        <w:tc>
          <w:tcPr>
            <w:tcW w:w="2143" w:type="dxa"/>
            <w:tcBorders>
              <w:bottom w:val="single" w:sz="6" w:space="0" w:color="000080"/>
            </w:tcBorders>
            <w:shd w:val="clear" w:color="auto" w:fill="auto"/>
            <w:vAlign w:val="center"/>
          </w:tcPr>
          <w:p w:rsidR="00C2394C" w:rsidRPr="00F92867" w:rsidRDefault="00C2394C" w:rsidP="002B2371">
            <w:pPr>
              <w:spacing w:after="0" w:line="240" w:lineRule="auto"/>
              <w:rPr>
                <w:rFonts w:ascii="Verdana" w:hAnsi="Verdana"/>
                <w:sz w:val="18"/>
                <w:szCs w:val="18"/>
                <w:lang w:val="en-GB"/>
              </w:rPr>
            </w:pPr>
          </w:p>
        </w:tc>
        <w:tc>
          <w:tcPr>
            <w:tcW w:w="4394" w:type="dxa"/>
            <w:tcBorders>
              <w:bottom w:val="single" w:sz="6" w:space="0" w:color="000080"/>
            </w:tcBorders>
            <w:shd w:val="clear" w:color="auto" w:fill="auto"/>
            <w:vAlign w:val="center"/>
          </w:tcPr>
          <w:p w:rsidR="00C2394C" w:rsidRPr="00F92867" w:rsidRDefault="00C2394C" w:rsidP="002B2371">
            <w:pPr>
              <w:spacing w:after="0" w:line="240" w:lineRule="auto"/>
              <w:rPr>
                <w:rFonts w:ascii="Verdana" w:hAnsi="Verdana"/>
                <w:sz w:val="18"/>
                <w:szCs w:val="18"/>
                <w:lang w:val="en-GB"/>
              </w:rPr>
            </w:pPr>
            <w:r w:rsidRPr="00F92867">
              <w:rPr>
                <w:rFonts w:ascii="Verdana" w:hAnsi="Verdana"/>
                <w:sz w:val="18"/>
                <w:szCs w:val="18"/>
                <w:lang w:val="en-GB"/>
              </w:rPr>
              <w:t>http://www.elte.hu/en/visa</w:t>
            </w:r>
          </w:p>
        </w:tc>
      </w:tr>
    </w:tbl>
    <w:p w:rsidR="00C2394C" w:rsidRDefault="00C2394C" w:rsidP="00C2394C">
      <w:pPr>
        <w:pStyle w:val="Listaszerbekezds"/>
        <w:widowControl w:val="0"/>
        <w:tabs>
          <w:tab w:val="left" w:pos="-360"/>
        </w:tabs>
        <w:spacing w:after="0" w:line="240" w:lineRule="auto"/>
        <w:ind w:left="0"/>
        <w:jc w:val="both"/>
        <w:rPr>
          <w:rFonts w:ascii="Verdana" w:hAnsi="Verdana" w:cs="Arial"/>
          <w:sz w:val="18"/>
          <w:szCs w:val="18"/>
        </w:rPr>
      </w:pPr>
    </w:p>
    <w:p w:rsidR="00147FA1" w:rsidRPr="00F92867" w:rsidRDefault="00147FA1" w:rsidP="00C2394C">
      <w:pPr>
        <w:pStyle w:val="Listaszerbekezds"/>
        <w:widowControl w:val="0"/>
        <w:tabs>
          <w:tab w:val="left" w:pos="-360"/>
        </w:tabs>
        <w:spacing w:after="0" w:line="240" w:lineRule="auto"/>
        <w:ind w:left="0"/>
        <w:jc w:val="both"/>
        <w:rPr>
          <w:rFonts w:ascii="Verdana" w:hAnsi="Verdana" w:cs="Arial"/>
          <w:sz w:val="18"/>
          <w:szCs w:val="18"/>
        </w:rPr>
      </w:pPr>
    </w:p>
    <w:p w:rsidR="00C2394C" w:rsidRPr="00F92867" w:rsidRDefault="00C2394C" w:rsidP="00C2394C">
      <w:pPr>
        <w:pStyle w:val="Listaszerbekezds"/>
        <w:keepNext/>
        <w:keepLines/>
        <w:widowControl w:val="0"/>
        <w:tabs>
          <w:tab w:val="left" w:pos="-360"/>
        </w:tabs>
        <w:spacing w:after="0" w:line="240" w:lineRule="auto"/>
        <w:ind w:left="709" w:hanging="284"/>
        <w:contextualSpacing w:val="0"/>
        <w:jc w:val="both"/>
        <w:rPr>
          <w:rFonts w:ascii="Verdana" w:hAnsi="Verdana"/>
          <w:b/>
          <w:color w:val="002060"/>
          <w:sz w:val="20"/>
          <w:szCs w:val="20"/>
          <w:u w:val="single"/>
        </w:rPr>
      </w:pPr>
      <w:r w:rsidRPr="00F92867">
        <w:rPr>
          <w:rFonts w:ascii="Verdana" w:hAnsi="Verdana"/>
          <w:b/>
          <w:color w:val="002060"/>
          <w:sz w:val="20"/>
          <w:szCs w:val="20"/>
          <w:u w:val="single"/>
        </w:rPr>
        <w:t>3.</w:t>
      </w:r>
      <w:r w:rsidRPr="00F92867">
        <w:rPr>
          <w:rFonts w:ascii="Verdana" w:hAnsi="Verdana"/>
          <w:b/>
          <w:color w:val="002060"/>
          <w:sz w:val="20"/>
          <w:szCs w:val="20"/>
          <w:u w:val="single"/>
        </w:rPr>
        <w:tab/>
        <w:t>Insurance</w:t>
      </w:r>
    </w:p>
    <w:p w:rsidR="00C2394C" w:rsidRPr="00F92867" w:rsidRDefault="00C2394C" w:rsidP="00C2394C">
      <w:pPr>
        <w:pStyle w:val="Listaszerbekezds"/>
        <w:widowControl w:val="0"/>
        <w:tabs>
          <w:tab w:val="left" w:pos="-360"/>
        </w:tabs>
        <w:spacing w:after="0" w:line="240" w:lineRule="auto"/>
        <w:ind w:left="709"/>
        <w:jc w:val="both"/>
        <w:rPr>
          <w:rFonts w:ascii="Verdana" w:hAnsi="Verdana"/>
          <w:sz w:val="16"/>
          <w:szCs w:val="18"/>
          <w:lang w:eastAsia="en-GB"/>
        </w:rPr>
      </w:pPr>
      <w:r w:rsidRPr="00F92867">
        <w:rPr>
          <w:rFonts w:ascii="Verdana" w:hAnsi="Verdana"/>
          <w:sz w:val="16"/>
          <w:szCs w:val="18"/>
        </w:rPr>
        <w:t xml:space="preserve">The receiving institution will inform mobile participants of cases in which insurance cover is not automatically provided. </w:t>
      </w:r>
      <w:r w:rsidRPr="00F92867">
        <w:rPr>
          <w:rFonts w:ascii="Verdana" w:hAnsi="Verdana"/>
          <w:sz w:val="16"/>
          <w:szCs w:val="18"/>
          <w:lang w:eastAsia="en-GB"/>
        </w:rPr>
        <w:t>Information and assistance can be provided by the following contact points and information sources:</w:t>
      </w:r>
    </w:p>
    <w:tbl>
      <w:tblPr>
        <w:tblW w:w="9356"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13"/>
        <w:gridCol w:w="1606"/>
        <w:gridCol w:w="5637"/>
      </w:tblGrid>
      <w:tr w:rsidR="00C2394C" w:rsidRPr="00F92867" w:rsidTr="002B2371">
        <w:trPr>
          <w:trHeight w:val="634"/>
        </w:trPr>
        <w:tc>
          <w:tcPr>
            <w:tcW w:w="2113" w:type="dxa"/>
            <w:shd w:val="clear" w:color="auto" w:fill="003399"/>
          </w:tcPr>
          <w:p w:rsidR="00C2394C" w:rsidRPr="00F92867" w:rsidRDefault="00C2394C" w:rsidP="002B2371">
            <w:pPr>
              <w:spacing w:after="0" w:line="240" w:lineRule="auto"/>
              <w:jc w:val="center"/>
              <w:rPr>
                <w:rFonts w:ascii="Verdana" w:hAnsi="Verdana"/>
                <w:b/>
                <w:bCs/>
                <w:color w:val="FFFFFF"/>
                <w:sz w:val="18"/>
                <w:szCs w:val="18"/>
                <w:lang w:val="en-GB"/>
              </w:rPr>
            </w:pPr>
            <w:r w:rsidRPr="00F92867">
              <w:rPr>
                <w:rFonts w:ascii="Verdana" w:hAnsi="Verdana"/>
                <w:b/>
                <w:bCs/>
                <w:color w:val="FFFFFF"/>
                <w:sz w:val="18"/>
                <w:szCs w:val="18"/>
                <w:lang w:val="en-GB"/>
              </w:rPr>
              <w:lastRenderedPageBreak/>
              <w:t xml:space="preserve">Institution </w:t>
            </w:r>
            <w:r w:rsidRPr="00F92867">
              <w:rPr>
                <w:rFonts w:ascii="Verdana" w:hAnsi="Verdana"/>
                <w:b/>
                <w:bCs/>
                <w:color w:val="FFFFFF"/>
                <w:sz w:val="18"/>
                <w:szCs w:val="18"/>
                <w:lang w:val="en-GB"/>
              </w:rPr>
              <w:br/>
              <w:t>[Erasmus code]</w:t>
            </w:r>
          </w:p>
        </w:tc>
        <w:tc>
          <w:tcPr>
            <w:tcW w:w="1606" w:type="dxa"/>
            <w:shd w:val="clear" w:color="auto" w:fill="003399"/>
          </w:tcPr>
          <w:p w:rsidR="00C2394C" w:rsidRPr="00F92867" w:rsidRDefault="00C2394C" w:rsidP="002B2371">
            <w:pPr>
              <w:spacing w:after="0" w:line="240" w:lineRule="auto"/>
              <w:jc w:val="center"/>
              <w:rPr>
                <w:rFonts w:ascii="Verdana" w:hAnsi="Verdana"/>
                <w:b/>
                <w:bCs/>
                <w:color w:val="FFFFFF"/>
                <w:sz w:val="18"/>
                <w:szCs w:val="18"/>
                <w:lang w:val="en-GB"/>
              </w:rPr>
            </w:pPr>
            <w:r w:rsidRPr="00F92867">
              <w:rPr>
                <w:rFonts w:ascii="Verdana" w:hAnsi="Verdana"/>
                <w:b/>
                <w:bCs/>
                <w:color w:val="FFFFFF"/>
                <w:sz w:val="18"/>
                <w:szCs w:val="18"/>
                <w:lang w:val="en-GB"/>
              </w:rPr>
              <w:t>Contact details</w:t>
            </w:r>
          </w:p>
          <w:p w:rsidR="00C2394C" w:rsidRPr="00F92867" w:rsidRDefault="00C2394C" w:rsidP="002B2371">
            <w:pPr>
              <w:spacing w:after="0" w:line="240" w:lineRule="auto"/>
              <w:jc w:val="center"/>
              <w:rPr>
                <w:rFonts w:ascii="Verdana" w:hAnsi="Verdana"/>
                <w:b/>
                <w:bCs/>
                <w:color w:val="FFFFFF"/>
                <w:sz w:val="18"/>
                <w:szCs w:val="18"/>
                <w:lang w:val="en-GB"/>
              </w:rPr>
            </w:pPr>
            <w:r w:rsidRPr="00F92867">
              <w:rPr>
                <w:rFonts w:ascii="Verdana" w:hAnsi="Verdana"/>
                <w:b/>
                <w:bCs/>
                <w:color w:val="FFFFFF"/>
                <w:sz w:val="18"/>
                <w:szCs w:val="18"/>
                <w:lang w:val="en-GB"/>
              </w:rPr>
              <w:t>(email, phone)</w:t>
            </w:r>
          </w:p>
        </w:tc>
        <w:tc>
          <w:tcPr>
            <w:tcW w:w="5637" w:type="dxa"/>
            <w:shd w:val="clear" w:color="auto" w:fill="003399"/>
          </w:tcPr>
          <w:p w:rsidR="00C2394C" w:rsidRPr="00F92867" w:rsidRDefault="00C2394C" w:rsidP="002B2371">
            <w:pPr>
              <w:spacing w:after="0" w:line="240" w:lineRule="auto"/>
              <w:jc w:val="center"/>
              <w:rPr>
                <w:rFonts w:ascii="Verdana" w:hAnsi="Verdana"/>
                <w:b/>
                <w:bCs/>
                <w:color w:val="FFFFFF"/>
                <w:sz w:val="18"/>
                <w:szCs w:val="18"/>
                <w:lang w:val="en-GB"/>
              </w:rPr>
            </w:pPr>
            <w:r w:rsidRPr="00F92867">
              <w:rPr>
                <w:rFonts w:ascii="Verdana" w:hAnsi="Verdana"/>
                <w:b/>
                <w:bCs/>
                <w:color w:val="FFFFFF"/>
                <w:sz w:val="18"/>
                <w:szCs w:val="18"/>
                <w:lang w:val="en-GB"/>
              </w:rPr>
              <w:t>Website for information</w:t>
            </w:r>
          </w:p>
        </w:tc>
      </w:tr>
      <w:tr w:rsidR="00C2394C" w:rsidRPr="00F92867" w:rsidTr="002B2371">
        <w:trPr>
          <w:trHeight w:val="422"/>
        </w:trPr>
        <w:tc>
          <w:tcPr>
            <w:tcW w:w="2113" w:type="dxa"/>
            <w:tcBorders>
              <w:bottom w:val="single" w:sz="6" w:space="0" w:color="000080"/>
            </w:tcBorders>
            <w:shd w:val="clear" w:color="auto" w:fill="auto"/>
          </w:tcPr>
          <w:p w:rsidR="00C2394C" w:rsidRPr="00F92867" w:rsidRDefault="00C2394C" w:rsidP="002B2371">
            <w:pPr>
              <w:spacing w:after="0" w:line="240" w:lineRule="auto"/>
              <w:rPr>
                <w:rFonts w:ascii="Verdana" w:hAnsi="Verdana"/>
                <w:sz w:val="18"/>
                <w:szCs w:val="18"/>
                <w:lang w:val="en-GB"/>
              </w:rPr>
            </w:pPr>
            <w:r w:rsidRPr="00F92867">
              <w:rPr>
                <w:rFonts w:ascii="Verdana" w:hAnsi="Verdana"/>
                <w:sz w:val="18"/>
                <w:szCs w:val="18"/>
                <w:lang w:val="en-GB"/>
              </w:rPr>
              <w:t>HU BUDAPES01</w:t>
            </w:r>
          </w:p>
        </w:tc>
        <w:tc>
          <w:tcPr>
            <w:tcW w:w="1606" w:type="dxa"/>
            <w:tcBorders>
              <w:bottom w:val="single" w:sz="6" w:space="0" w:color="000080"/>
            </w:tcBorders>
            <w:shd w:val="clear" w:color="auto" w:fill="auto"/>
          </w:tcPr>
          <w:p w:rsidR="00C2394C" w:rsidRPr="00F92867" w:rsidRDefault="00C2394C" w:rsidP="002B2371">
            <w:pPr>
              <w:spacing w:after="0" w:line="240" w:lineRule="auto"/>
              <w:rPr>
                <w:rFonts w:ascii="Verdana" w:hAnsi="Verdana"/>
                <w:sz w:val="18"/>
                <w:szCs w:val="18"/>
                <w:lang w:val="en-GB"/>
              </w:rPr>
            </w:pPr>
          </w:p>
        </w:tc>
        <w:tc>
          <w:tcPr>
            <w:tcW w:w="5637" w:type="dxa"/>
            <w:tcBorders>
              <w:bottom w:val="single" w:sz="6" w:space="0" w:color="000080"/>
            </w:tcBorders>
            <w:shd w:val="clear" w:color="auto" w:fill="auto"/>
          </w:tcPr>
          <w:p w:rsidR="00C2394C" w:rsidRPr="00F92867" w:rsidRDefault="00C2394C" w:rsidP="002B2371">
            <w:pPr>
              <w:spacing w:after="0" w:line="240" w:lineRule="auto"/>
              <w:rPr>
                <w:rFonts w:ascii="Verdana" w:hAnsi="Verdana"/>
                <w:sz w:val="18"/>
                <w:szCs w:val="18"/>
                <w:lang w:val="en-GB"/>
              </w:rPr>
            </w:pPr>
            <w:r w:rsidRPr="00F92867">
              <w:rPr>
                <w:rFonts w:ascii="Verdana" w:hAnsi="Verdana"/>
                <w:sz w:val="18"/>
                <w:szCs w:val="18"/>
                <w:lang w:val="en-GB"/>
              </w:rPr>
              <w:t>http://www.elte.hu/en/healthinsurance</w:t>
            </w:r>
          </w:p>
        </w:tc>
      </w:tr>
    </w:tbl>
    <w:p w:rsidR="00C2394C" w:rsidRPr="00E61258" w:rsidRDefault="00C2394C" w:rsidP="00C2394C">
      <w:pPr>
        <w:pStyle w:val="Listaszerbekezds"/>
        <w:widowControl w:val="0"/>
        <w:tabs>
          <w:tab w:val="left" w:pos="-360"/>
        </w:tabs>
        <w:spacing w:after="0" w:line="240" w:lineRule="auto"/>
        <w:ind w:left="0"/>
        <w:jc w:val="both"/>
        <w:rPr>
          <w:rFonts w:ascii="Verdana" w:hAnsi="Verdana"/>
          <w:sz w:val="18"/>
          <w:szCs w:val="20"/>
        </w:rPr>
      </w:pPr>
    </w:p>
    <w:p w:rsidR="00C2394C" w:rsidRPr="00424BC5" w:rsidRDefault="00C2394C" w:rsidP="00424BC5">
      <w:pPr>
        <w:spacing w:after="200" w:line="276" w:lineRule="auto"/>
        <w:rPr>
          <w:rFonts w:ascii="Verdana" w:hAnsi="Verdana"/>
          <w:b/>
          <w:color w:val="002060"/>
          <w:sz w:val="20"/>
          <w:szCs w:val="20"/>
          <w:u w:val="single"/>
        </w:rPr>
      </w:pPr>
      <w:r w:rsidRPr="00424BC5">
        <w:rPr>
          <w:rFonts w:ascii="Verdana" w:hAnsi="Verdana"/>
          <w:b/>
          <w:color w:val="002060"/>
          <w:sz w:val="20"/>
          <w:szCs w:val="20"/>
          <w:u w:val="single"/>
        </w:rPr>
        <w:t>4.</w:t>
      </w:r>
      <w:r w:rsidRPr="00424BC5">
        <w:rPr>
          <w:rFonts w:ascii="Verdana" w:hAnsi="Verdana"/>
          <w:b/>
          <w:color w:val="002060"/>
          <w:sz w:val="20"/>
          <w:szCs w:val="20"/>
          <w:u w:val="single"/>
        </w:rPr>
        <w:tab/>
        <w:t>Housing</w:t>
      </w:r>
    </w:p>
    <w:p w:rsidR="00C2394C" w:rsidRPr="00F92867" w:rsidRDefault="00C2394C" w:rsidP="00C2394C">
      <w:pPr>
        <w:pStyle w:val="Listaszerbekezds"/>
        <w:widowControl w:val="0"/>
        <w:tabs>
          <w:tab w:val="left" w:pos="-360"/>
        </w:tabs>
        <w:spacing w:after="0" w:line="240" w:lineRule="auto"/>
        <w:ind w:left="709"/>
        <w:jc w:val="both"/>
        <w:rPr>
          <w:rFonts w:ascii="Verdana" w:hAnsi="Verdana"/>
          <w:b/>
          <w:sz w:val="16"/>
          <w:szCs w:val="18"/>
        </w:rPr>
      </w:pPr>
      <w:r w:rsidRPr="00F92867">
        <w:rPr>
          <w:rFonts w:ascii="Verdana" w:hAnsi="Verdana"/>
          <w:sz w:val="16"/>
          <w:szCs w:val="18"/>
          <w:lang w:eastAsia="en-GB"/>
        </w:rPr>
        <w:t>Information and assistance can be provided by the following persons and information sources:</w:t>
      </w:r>
    </w:p>
    <w:tbl>
      <w:tblPr>
        <w:tblW w:w="9356"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04"/>
        <w:gridCol w:w="2186"/>
        <w:gridCol w:w="4766"/>
      </w:tblGrid>
      <w:tr w:rsidR="00C2394C" w:rsidRPr="00F92867" w:rsidTr="002B2371">
        <w:trPr>
          <w:trHeight w:val="682"/>
        </w:trPr>
        <w:tc>
          <w:tcPr>
            <w:tcW w:w="2404" w:type="dxa"/>
            <w:shd w:val="clear" w:color="auto" w:fill="003399"/>
          </w:tcPr>
          <w:p w:rsidR="00C2394C" w:rsidRPr="00F92867" w:rsidRDefault="00C2394C" w:rsidP="002B2371">
            <w:pPr>
              <w:spacing w:after="0" w:line="240" w:lineRule="auto"/>
              <w:jc w:val="center"/>
              <w:rPr>
                <w:rFonts w:ascii="Verdana" w:hAnsi="Verdana"/>
                <w:b/>
                <w:bCs/>
                <w:color w:val="FFFFFF"/>
                <w:sz w:val="18"/>
                <w:szCs w:val="18"/>
                <w:lang w:val="en-GB"/>
              </w:rPr>
            </w:pPr>
            <w:r w:rsidRPr="00F92867">
              <w:rPr>
                <w:rFonts w:ascii="Verdana" w:hAnsi="Verdana"/>
                <w:b/>
                <w:bCs/>
                <w:color w:val="FFFFFF"/>
                <w:sz w:val="18"/>
                <w:szCs w:val="18"/>
                <w:lang w:val="en-GB"/>
              </w:rPr>
              <w:t xml:space="preserve">Institution </w:t>
            </w:r>
            <w:r w:rsidRPr="00F92867">
              <w:rPr>
                <w:rFonts w:ascii="Verdana" w:hAnsi="Verdana"/>
                <w:b/>
                <w:bCs/>
                <w:color w:val="FFFFFF"/>
                <w:sz w:val="18"/>
                <w:szCs w:val="18"/>
                <w:lang w:val="en-GB"/>
              </w:rPr>
              <w:br/>
              <w:t>[Erasmus code]</w:t>
            </w:r>
          </w:p>
        </w:tc>
        <w:tc>
          <w:tcPr>
            <w:tcW w:w="2186" w:type="dxa"/>
            <w:shd w:val="clear" w:color="auto" w:fill="003399"/>
          </w:tcPr>
          <w:p w:rsidR="00C2394C" w:rsidRPr="00F92867" w:rsidRDefault="00C2394C" w:rsidP="002B2371">
            <w:pPr>
              <w:spacing w:after="0" w:line="240" w:lineRule="auto"/>
              <w:jc w:val="center"/>
              <w:rPr>
                <w:rFonts w:ascii="Verdana" w:hAnsi="Verdana"/>
                <w:b/>
                <w:bCs/>
                <w:color w:val="FFFFFF"/>
                <w:sz w:val="18"/>
                <w:szCs w:val="18"/>
                <w:lang w:val="en-GB"/>
              </w:rPr>
            </w:pPr>
            <w:r w:rsidRPr="00F92867">
              <w:rPr>
                <w:rFonts w:ascii="Verdana" w:hAnsi="Verdana"/>
                <w:b/>
                <w:bCs/>
                <w:color w:val="FFFFFF"/>
                <w:sz w:val="18"/>
                <w:szCs w:val="18"/>
                <w:lang w:val="en-GB"/>
              </w:rPr>
              <w:t>Contact details</w:t>
            </w:r>
          </w:p>
          <w:p w:rsidR="00C2394C" w:rsidRPr="00F92867" w:rsidRDefault="00C2394C" w:rsidP="002B2371">
            <w:pPr>
              <w:spacing w:after="0" w:line="240" w:lineRule="auto"/>
              <w:jc w:val="center"/>
              <w:rPr>
                <w:rFonts w:ascii="Verdana" w:hAnsi="Verdana"/>
                <w:b/>
                <w:bCs/>
                <w:color w:val="FFFFFF"/>
                <w:sz w:val="18"/>
                <w:szCs w:val="18"/>
                <w:lang w:val="en-GB"/>
              </w:rPr>
            </w:pPr>
            <w:r w:rsidRPr="00F92867">
              <w:rPr>
                <w:rFonts w:ascii="Verdana" w:hAnsi="Verdana"/>
                <w:b/>
                <w:bCs/>
                <w:color w:val="FFFFFF"/>
                <w:sz w:val="18"/>
                <w:szCs w:val="18"/>
                <w:lang w:val="en-GB"/>
              </w:rPr>
              <w:t>(email, phone)</w:t>
            </w:r>
          </w:p>
        </w:tc>
        <w:tc>
          <w:tcPr>
            <w:tcW w:w="4766" w:type="dxa"/>
            <w:shd w:val="clear" w:color="auto" w:fill="003399"/>
          </w:tcPr>
          <w:p w:rsidR="00C2394C" w:rsidRPr="00F92867" w:rsidRDefault="00C2394C" w:rsidP="002B2371">
            <w:pPr>
              <w:spacing w:after="0" w:line="240" w:lineRule="auto"/>
              <w:jc w:val="center"/>
              <w:rPr>
                <w:rFonts w:ascii="Verdana" w:hAnsi="Verdana"/>
                <w:b/>
                <w:bCs/>
                <w:color w:val="FFFFFF"/>
                <w:sz w:val="18"/>
                <w:szCs w:val="18"/>
                <w:lang w:val="en-GB"/>
              </w:rPr>
            </w:pPr>
            <w:r w:rsidRPr="00F92867">
              <w:rPr>
                <w:rFonts w:ascii="Verdana" w:hAnsi="Verdana"/>
                <w:b/>
                <w:bCs/>
                <w:color w:val="FFFFFF"/>
                <w:sz w:val="18"/>
                <w:szCs w:val="18"/>
                <w:lang w:val="en-GB"/>
              </w:rPr>
              <w:t>Website for information</w:t>
            </w:r>
          </w:p>
        </w:tc>
      </w:tr>
      <w:tr w:rsidR="00C2394C" w:rsidRPr="00F92867" w:rsidTr="002B2371">
        <w:trPr>
          <w:trHeight w:val="454"/>
        </w:trPr>
        <w:tc>
          <w:tcPr>
            <w:tcW w:w="2404" w:type="dxa"/>
            <w:tcBorders>
              <w:bottom w:val="single" w:sz="6" w:space="0" w:color="000080"/>
            </w:tcBorders>
            <w:shd w:val="clear" w:color="auto" w:fill="auto"/>
          </w:tcPr>
          <w:p w:rsidR="00C2394C" w:rsidRPr="00F92867" w:rsidRDefault="00C2394C" w:rsidP="002B2371">
            <w:pPr>
              <w:spacing w:after="0" w:line="240" w:lineRule="auto"/>
              <w:rPr>
                <w:rFonts w:ascii="Verdana" w:hAnsi="Verdana"/>
                <w:sz w:val="18"/>
                <w:szCs w:val="18"/>
                <w:lang w:val="en-GB"/>
              </w:rPr>
            </w:pPr>
            <w:r w:rsidRPr="00F92867">
              <w:rPr>
                <w:rFonts w:ascii="Verdana" w:hAnsi="Verdana"/>
                <w:sz w:val="18"/>
                <w:szCs w:val="18"/>
                <w:lang w:val="en-GB"/>
              </w:rPr>
              <w:t>HU BUDAPES01</w:t>
            </w:r>
          </w:p>
        </w:tc>
        <w:tc>
          <w:tcPr>
            <w:tcW w:w="2186" w:type="dxa"/>
            <w:tcBorders>
              <w:bottom w:val="single" w:sz="6" w:space="0" w:color="000080"/>
            </w:tcBorders>
            <w:shd w:val="clear" w:color="auto" w:fill="auto"/>
          </w:tcPr>
          <w:p w:rsidR="00C2394C" w:rsidRPr="00F92867" w:rsidRDefault="00C2394C" w:rsidP="002B2371">
            <w:pPr>
              <w:spacing w:after="0" w:line="240" w:lineRule="auto"/>
              <w:rPr>
                <w:rFonts w:ascii="Verdana" w:hAnsi="Verdana"/>
                <w:sz w:val="18"/>
                <w:szCs w:val="18"/>
                <w:lang w:val="en-GB"/>
              </w:rPr>
            </w:pPr>
            <w:r w:rsidRPr="00F92867">
              <w:rPr>
                <w:rFonts w:ascii="Verdana" w:hAnsi="Verdana"/>
                <w:sz w:val="18"/>
                <w:szCs w:val="18"/>
                <w:lang w:val="en-GB"/>
              </w:rPr>
              <w:t>housing@elte.hu</w:t>
            </w:r>
          </w:p>
        </w:tc>
        <w:tc>
          <w:tcPr>
            <w:tcW w:w="4766" w:type="dxa"/>
            <w:tcBorders>
              <w:bottom w:val="single" w:sz="6" w:space="0" w:color="000080"/>
            </w:tcBorders>
            <w:shd w:val="clear" w:color="auto" w:fill="auto"/>
          </w:tcPr>
          <w:p w:rsidR="00C2394C" w:rsidRPr="00F92867" w:rsidRDefault="00C2394C" w:rsidP="002B2371">
            <w:pPr>
              <w:spacing w:after="0" w:line="240" w:lineRule="auto"/>
              <w:rPr>
                <w:rFonts w:ascii="Verdana" w:hAnsi="Verdana"/>
                <w:sz w:val="18"/>
                <w:szCs w:val="18"/>
                <w:lang w:val="en-GB"/>
              </w:rPr>
            </w:pPr>
            <w:r w:rsidRPr="00F92867">
              <w:rPr>
                <w:rFonts w:ascii="Verdana" w:hAnsi="Verdana"/>
                <w:sz w:val="18"/>
                <w:szCs w:val="18"/>
                <w:lang w:val="en-GB"/>
              </w:rPr>
              <w:t>http://www.elte.hu/en/housing</w:t>
            </w:r>
          </w:p>
        </w:tc>
      </w:tr>
    </w:tbl>
    <w:p w:rsidR="00C2394C" w:rsidRDefault="00C2394C"/>
    <w:p w:rsidR="00C2394C" w:rsidRDefault="00C2394C"/>
    <w:sectPr w:rsidR="00C239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AEF" w:rsidRDefault="000E7AEF" w:rsidP="00C2394C">
      <w:pPr>
        <w:spacing w:after="0" w:line="240" w:lineRule="auto"/>
      </w:pPr>
      <w:r>
        <w:separator/>
      </w:r>
    </w:p>
  </w:endnote>
  <w:endnote w:type="continuationSeparator" w:id="0">
    <w:p w:rsidR="000E7AEF" w:rsidRDefault="000E7AEF" w:rsidP="00C2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AEF" w:rsidRDefault="000E7AEF" w:rsidP="00C2394C">
      <w:pPr>
        <w:spacing w:after="0" w:line="240" w:lineRule="auto"/>
      </w:pPr>
      <w:r>
        <w:separator/>
      </w:r>
    </w:p>
  </w:footnote>
  <w:footnote w:type="continuationSeparator" w:id="0">
    <w:p w:rsidR="000E7AEF" w:rsidRDefault="000E7AEF" w:rsidP="00C2394C">
      <w:pPr>
        <w:spacing w:after="0" w:line="240" w:lineRule="auto"/>
      </w:pPr>
      <w:r>
        <w:continuationSeparator/>
      </w:r>
    </w:p>
  </w:footnote>
  <w:footnote w:id="1">
    <w:p w:rsidR="00C2394C" w:rsidRPr="00291D6D" w:rsidRDefault="00C2394C" w:rsidP="00C2394C">
      <w:pPr>
        <w:spacing w:after="0"/>
        <w:rPr>
          <w:lang w:val="en-GB"/>
        </w:rPr>
      </w:pPr>
      <w:r>
        <w:rPr>
          <w:rStyle w:val="Lbjegyzet-hivatkozs"/>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Hiperhivatkozs"/>
            <w:sz w:val="20"/>
            <w:lang w:val="en-GB"/>
          </w:rPr>
          <w:t>http://europass.cedefop.europa.eu/en/resources/european-language-levels-cefr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EEF218"/>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1AB2A9B"/>
    <w:multiLevelType w:val="hybridMultilevel"/>
    <w:tmpl w:val="F4921B40"/>
    <w:lvl w:ilvl="0" w:tplc="040E0001">
      <w:start w:val="1"/>
      <w:numFmt w:val="bullet"/>
      <w:lvlText w:val=""/>
      <w:lvlJc w:val="left"/>
      <w:pPr>
        <w:ind w:left="1145" w:hanging="360"/>
      </w:pPr>
      <w:rPr>
        <w:rFonts w:ascii="Symbol" w:hAnsi="Symbol" w:hint="default"/>
      </w:rPr>
    </w:lvl>
    <w:lvl w:ilvl="1" w:tplc="040E0003">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2" w15:restartNumberingAfterBreak="0">
    <w:nsid w:val="747D30F5"/>
    <w:multiLevelType w:val="hybridMultilevel"/>
    <w:tmpl w:val="77FA51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4C"/>
    <w:rsid w:val="00004D6C"/>
    <w:rsid w:val="000E7AEF"/>
    <w:rsid w:val="00100487"/>
    <w:rsid w:val="00147FA1"/>
    <w:rsid w:val="00293136"/>
    <w:rsid w:val="003666B3"/>
    <w:rsid w:val="00424BC5"/>
    <w:rsid w:val="004E7C06"/>
    <w:rsid w:val="00B17DA0"/>
    <w:rsid w:val="00B241BD"/>
    <w:rsid w:val="00C239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7111"/>
  <w15:docId w15:val="{A1E8C49D-E9DA-4AEB-8372-E3688BF8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2394C"/>
    <w:pPr>
      <w:spacing w:after="160" w:line="259" w:lineRule="auto"/>
    </w:pPr>
    <w:rPr>
      <w:rFonts w:eastAsiaTheme="minorEastAsia"/>
      <w:lang w:val="en-US"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C2394C"/>
    <w:pPr>
      <w:ind w:left="720"/>
      <w:contextualSpacing/>
    </w:pPr>
  </w:style>
  <w:style w:type="paragraph" w:styleId="Felsorols">
    <w:name w:val="List Bullet"/>
    <w:basedOn w:val="Norml"/>
    <w:uiPriority w:val="99"/>
    <w:rsid w:val="00C2394C"/>
    <w:pPr>
      <w:numPr>
        <w:numId w:val="2"/>
      </w:numPr>
    </w:pPr>
    <w:rPr>
      <w:rFonts w:ascii="Calibri" w:eastAsia="SimSun" w:hAnsi="Calibri" w:cs="Arial"/>
    </w:rPr>
  </w:style>
  <w:style w:type="character" w:styleId="Hiperhivatkozs">
    <w:name w:val="Hyperlink"/>
    <w:rsid w:val="00C2394C"/>
    <w:rPr>
      <w:color w:val="0000FF"/>
      <w:u w:val="single"/>
    </w:rPr>
  </w:style>
  <w:style w:type="table" w:styleId="Rcsostblzat">
    <w:name w:val="Table Grid"/>
    <w:basedOn w:val="Normltblzat"/>
    <w:uiPriority w:val="39"/>
    <w:rsid w:val="00C2394C"/>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semiHidden/>
    <w:unhideWhenUsed/>
    <w:rsid w:val="00C2394C"/>
    <w:rPr>
      <w:vertAlign w:val="superscript"/>
    </w:rPr>
  </w:style>
  <w:style w:type="paragraph" w:styleId="Buborkszveg">
    <w:name w:val="Balloon Text"/>
    <w:basedOn w:val="Norml"/>
    <w:link w:val="BuborkszvegChar"/>
    <w:uiPriority w:val="99"/>
    <w:semiHidden/>
    <w:unhideWhenUsed/>
    <w:rsid w:val="00C2394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2394C"/>
    <w:rPr>
      <w:rFonts w:ascii="Tahoma" w:eastAsiaTheme="minorEastAsi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te.hu/en/disabilit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rasmus@elte.hu" TargetMode="External"/><Relationship Id="rId4" Type="http://schemas.openxmlformats.org/officeDocument/2006/relationships/webSettings" Target="webSettings.xml"/><Relationship Id="rId9" Type="http://schemas.openxmlformats.org/officeDocument/2006/relationships/hyperlink" Target="http://www.elte.hu/en/language_cours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727</Words>
  <Characters>5020</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szekely</dc:creator>
  <cp:lastModifiedBy>Pósch Orsolya</cp:lastModifiedBy>
  <cp:revision>4</cp:revision>
  <cp:lastPrinted>2013-12-12T08:14:00Z</cp:lastPrinted>
  <dcterms:created xsi:type="dcterms:W3CDTF">2013-12-12T08:14:00Z</dcterms:created>
  <dcterms:modified xsi:type="dcterms:W3CDTF">2020-02-05T08:30:00Z</dcterms:modified>
</cp:coreProperties>
</file>